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C1F6" w14:textId="263BB426" w:rsidR="00661834" w:rsidRDefault="00661834" w:rsidP="00661834">
      <w:pPr>
        <w:ind w:right="-483"/>
        <w:jc w:val="both"/>
        <w:rPr>
          <w:sz w:val="24"/>
          <w:szCs w:val="24"/>
        </w:rPr>
      </w:pPr>
      <w:r>
        <w:rPr>
          <w:sz w:val="24"/>
          <w:szCs w:val="24"/>
        </w:rPr>
        <w:t xml:space="preserve">Η χρήση καινοτόμων μεταφορέων ενέργειας όπως το Υδρογόνο, ειδικά προερχόμενο από ηλεκτρική ενέργεια από ΑΠΕ, θα παίξει καθοριστικό ρόλο στο Ευρωπαϊκό </w:t>
      </w:r>
      <w:r>
        <w:rPr>
          <w:sz w:val="24"/>
          <w:szCs w:val="24"/>
          <w:lang w:val="en-US"/>
        </w:rPr>
        <w:t>Green</w:t>
      </w:r>
      <w:r w:rsidRPr="00661834">
        <w:rPr>
          <w:sz w:val="24"/>
          <w:szCs w:val="24"/>
        </w:rPr>
        <w:t xml:space="preserve"> </w:t>
      </w:r>
      <w:r>
        <w:rPr>
          <w:sz w:val="24"/>
          <w:szCs w:val="24"/>
          <w:lang w:val="en-US"/>
        </w:rPr>
        <w:t>Deal</w:t>
      </w:r>
      <w:r w:rsidRPr="00661834">
        <w:rPr>
          <w:sz w:val="24"/>
          <w:szCs w:val="24"/>
        </w:rPr>
        <w:t xml:space="preserve">. </w:t>
      </w:r>
      <w:r>
        <w:rPr>
          <w:sz w:val="24"/>
          <w:szCs w:val="24"/>
        </w:rPr>
        <w:t>Το Υδρογόνο μπορεί να χρησιμοποιηθεί ως καύσιμο, μεταφορέας ενέργειας ή ως πρώτη ύλη και θα μπορούσε να μειώσει τις εκπομπές σε δύσκολους τομείς, ιδιαίτερα στη βιομηχανία και τις μεταφορές.</w:t>
      </w:r>
    </w:p>
    <w:p w14:paraId="1DF2D5A0" w14:textId="64160DF4" w:rsidR="00661834" w:rsidRDefault="00661834" w:rsidP="00661834">
      <w:pPr>
        <w:ind w:right="-483"/>
        <w:jc w:val="both"/>
        <w:rPr>
          <w:sz w:val="24"/>
          <w:szCs w:val="24"/>
        </w:rPr>
      </w:pPr>
      <w:r>
        <w:rPr>
          <w:sz w:val="24"/>
          <w:szCs w:val="24"/>
        </w:rPr>
        <w:t>Η Ευρωπαϊκή Στρατηγική για το Υδρογόνο σκοπεύει να δαμάσει τις τεράστιες επαγγελματικές ευκαιρίες που συνδέονται με τη παραγωγή Υδρογόνου χωρίς άνθρακα. Το παγκόσμιο ενδιαφέρον θα σημάνει νέες ευκαιρίες για ευρωπαϊκές εταιρείες που θα παρακινηθούν από τις προτάσεις που υιοθετούνται από την Κομισιόν σήμερα.</w:t>
      </w:r>
    </w:p>
    <w:p w14:paraId="3D22286D" w14:textId="77777777" w:rsidR="000B5939" w:rsidRDefault="000B5939" w:rsidP="00661834">
      <w:pPr>
        <w:ind w:right="-483"/>
        <w:jc w:val="both"/>
        <w:rPr>
          <w:sz w:val="24"/>
          <w:szCs w:val="24"/>
        </w:rPr>
      </w:pPr>
    </w:p>
    <w:p w14:paraId="4DCD92F2" w14:textId="57358761" w:rsidR="00F87541" w:rsidRPr="002D6A5B" w:rsidRDefault="002D6A5B" w:rsidP="00661834">
      <w:pPr>
        <w:ind w:right="-483"/>
        <w:jc w:val="center"/>
        <w:rPr>
          <w:b/>
          <w:bCs/>
          <w:sz w:val="24"/>
          <w:szCs w:val="24"/>
        </w:rPr>
      </w:pPr>
      <w:r w:rsidRPr="002D6A5B">
        <w:rPr>
          <w:b/>
          <w:bCs/>
          <w:sz w:val="24"/>
          <w:szCs w:val="24"/>
        </w:rPr>
        <w:t>ΣΤΟΧΟΙ ΓΙΑ ΤΟ 2030</w:t>
      </w:r>
    </w:p>
    <w:p w14:paraId="75F0ECBC" w14:textId="0BFB3D81" w:rsidR="00661834" w:rsidRDefault="00661834" w:rsidP="00661834">
      <w:pPr>
        <w:pStyle w:val="a3"/>
        <w:numPr>
          <w:ilvl w:val="0"/>
          <w:numId w:val="1"/>
        </w:numPr>
        <w:ind w:right="-483"/>
        <w:jc w:val="both"/>
        <w:rPr>
          <w:sz w:val="24"/>
          <w:szCs w:val="24"/>
        </w:rPr>
      </w:pPr>
      <w:r w:rsidRPr="00661834">
        <w:rPr>
          <w:sz w:val="24"/>
          <w:szCs w:val="24"/>
        </w:rPr>
        <w:t>40</w:t>
      </w:r>
      <w:r w:rsidRPr="00661834">
        <w:rPr>
          <w:sz w:val="24"/>
          <w:szCs w:val="24"/>
          <w:lang w:val="en-US"/>
        </w:rPr>
        <w:t>GW</w:t>
      </w:r>
      <w:r w:rsidRPr="00661834">
        <w:rPr>
          <w:sz w:val="24"/>
          <w:szCs w:val="24"/>
        </w:rPr>
        <w:t xml:space="preserve"> ανανεώσιμων ηλεκτρολυτών Υδρογόνου στην ΕΕ</w:t>
      </w:r>
    </w:p>
    <w:p w14:paraId="40732CFE" w14:textId="45F7E239" w:rsidR="00661834" w:rsidRDefault="00661834" w:rsidP="00661834">
      <w:pPr>
        <w:pStyle w:val="a3"/>
        <w:numPr>
          <w:ilvl w:val="0"/>
          <w:numId w:val="1"/>
        </w:numPr>
        <w:ind w:right="-483"/>
        <w:jc w:val="both"/>
        <w:rPr>
          <w:sz w:val="24"/>
          <w:szCs w:val="24"/>
        </w:rPr>
      </w:pPr>
      <w:r>
        <w:rPr>
          <w:sz w:val="24"/>
          <w:szCs w:val="24"/>
        </w:rPr>
        <w:t>10 εκατομμύρια τόνοι ανανεώσιμου Υδρογόνου που θα έχουν παραχθεί στην ΕΕ</w:t>
      </w:r>
      <w:r w:rsidR="002D6A5B">
        <w:rPr>
          <w:sz w:val="24"/>
          <w:szCs w:val="24"/>
        </w:rPr>
        <w:t>.</w:t>
      </w:r>
    </w:p>
    <w:p w14:paraId="51AE8FA1" w14:textId="59E64722" w:rsidR="002D6A5B" w:rsidRDefault="002D6A5B" w:rsidP="002D6A5B">
      <w:pPr>
        <w:ind w:right="-483"/>
        <w:jc w:val="both"/>
        <w:rPr>
          <w:sz w:val="24"/>
          <w:szCs w:val="24"/>
        </w:rPr>
      </w:pPr>
    </w:p>
    <w:p w14:paraId="7243C55B" w14:textId="3B977E43" w:rsidR="002D6A5B" w:rsidRDefault="002D6A5B" w:rsidP="002D6A5B">
      <w:pPr>
        <w:ind w:right="-483"/>
        <w:jc w:val="center"/>
        <w:rPr>
          <w:b/>
          <w:bCs/>
          <w:sz w:val="24"/>
          <w:szCs w:val="24"/>
        </w:rPr>
      </w:pPr>
      <w:r w:rsidRPr="002D6A5B">
        <w:rPr>
          <w:b/>
          <w:bCs/>
          <w:sz w:val="24"/>
          <w:szCs w:val="24"/>
        </w:rPr>
        <w:t>ΑΝΑΘΕΩΡΗΜΕΝΗ ΟΔΗΓΙΑ ΓΙΑ ΤΗΝ ΑΝΑΝΕΩΣΙΜΗ ΕΝΕΡΓΕΙΑ</w:t>
      </w:r>
    </w:p>
    <w:p w14:paraId="3DD3AB01" w14:textId="6B462E4D" w:rsidR="002D6A5B" w:rsidRDefault="002D6A5B" w:rsidP="002D6A5B">
      <w:pPr>
        <w:pStyle w:val="a3"/>
        <w:ind w:right="-483"/>
        <w:jc w:val="both"/>
        <w:rPr>
          <w:sz w:val="24"/>
          <w:szCs w:val="24"/>
        </w:rPr>
      </w:pPr>
      <w:r>
        <w:rPr>
          <w:sz w:val="24"/>
          <w:szCs w:val="24"/>
        </w:rPr>
        <w:t>Χρήση του ανανεώσιμου Υδρογόνου:</w:t>
      </w:r>
    </w:p>
    <w:p w14:paraId="7E6B3B9A" w14:textId="5CE0A3E1" w:rsidR="002D6A5B" w:rsidRDefault="002D6A5B" w:rsidP="002D6A5B">
      <w:pPr>
        <w:pStyle w:val="a3"/>
        <w:numPr>
          <w:ilvl w:val="0"/>
          <w:numId w:val="3"/>
        </w:numPr>
        <w:ind w:left="709" w:right="-483" w:hanging="283"/>
        <w:jc w:val="both"/>
        <w:rPr>
          <w:sz w:val="24"/>
          <w:szCs w:val="24"/>
        </w:rPr>
      </w:pPr>
      <w:r>
        <w:rPr>
          <w:sz w:val="24"/>
          <w:szCs w:val="24"/>
        </w:rPr>
        <w:t>Επέκταση του διευρωπαϊκού συστήματος πιστοποίησης για τα ανανεώσιμα καύσιμα, ώστε να συμπεριλαμβάνεται το Υδρογόνο</w:t>
      </w:r>
    </w:p>
    <w:p w14:paraId="2D9C5C94" w14:textId="6C7E7334" w:rsidR="002D6A5B" w:rsidRDefault="002D6A5B" w:rsidP="002D6A5B">
      <w:pPr>
        <w:pStyle w:val="a3"/>
        <w:numPr>
          <w:ilvl w:val="0"/>
          <w:numId w:val="3"/>
        </w:numPr>
        <w:ind w:left="709" w:right="-483" w:hanging="283"/>
        <w:jc w:val="both"/>
        <w:rPr>
          <w:sz w:val="24"/>
          <w:szCs w:val="24"/>
        </w:rPr>
      </w:pPr>
      <w:r>
        <w:rPr>
          <w:sz w:val="24"/>
          <w:szCs w:val="24"/>
        </w:rPr>
        <w:t xml:space="preserve">Απανθρακοποίηση της βιομηχανίας και των βαρέων και μεγάλων αποστάσεων μεταφορών, με σαφείς στόχους: </w:t>
      </w:r>
    </w:p>
    <w:p w14:paraId="4A16789E" w14:textId="297F15C5" w:rsidR="002D6A5B" w:rsidRDefault="002D6A5B" w:rsidP="002D6A5B">
      <w:pPr>
        <w:pStyle w:val="a3"/>
        <w:ind w:left="709" w:right="-483"/>
        <w:jc w:val="both"/>
        <w:rPr>
          <w:sz w:val="24"/>
          <w:szCs w:val="24"/>
        </w:rPr>
      </w:pPr>
      <w:r>
        <w:rPr>
          <w:sz w:val="24"/>
          <w:szCs w:val="24"/>
        </w:rPr>
        <w:t>ΜΕΤΑΦΟΡΕΣ  2,6% για ανανεώσιμα καύσιμα μη βιολογικής προέλευσης</w:t>
      </w:r>
    </w:p>
    <w:p w14:paraId="16CFFF3C" w14:textId="55ED9186" w:rsidR="002D6A5B" w:rsidRDefault="002D6A5B" w:rsidP="002D6A5B">
      <w:pPr>
        <w:pStyle w:val="a3"/>
        <w:ind w:left="709" w:right="-483"/>
        <w:jc w:val="both"/>
        <w:rPr>
          <w:sz w:val="24"/>
          <w:szCs w:val="24"/>
        </w:rPr>
      </w:pPr>
      <w:r>
        <w:rPr>
          <w:sz w:val="24"/>
          <w:szCs w:val="24"/>
        </w:rPr>
        <w:t>ΒΙΟΜΗΧΑΝΙΑ 50% ανανεώσιμο μερίδιο σε κατανάλωση Υδρογόνου</w:t>
      </w:r>
    </w:p>
    <w:p w14:paraId="15F49C1F" w14:textId="77777777" w:rsidR="000B5939" w:rsidRDefault="000B5939" w:rsidP="002D6A5B">
      <w:pPr>
        <w:pStyle w:val="a3"/>
        <w:ind w:left="709" w:right="-483"/>
        <w:jc w:val="both"/>
        <w:rPr>
          <w:sz w:val="24"/>
          <w:szCs w:val="24"/>
        </w:rPr>
      </w:pPr>
    </w:p>
    <w:p w14:paraId="3EA01540" w14:textId="1E5C03C8" w:rsidR="002D6A5B" w:rsidRDefault="002D6A5B" w:rsidP="002D6A5B">
      <w:pPr>
        <w:pStyle w:val="a3"/>
        <w:ind w:left="709" w:right="-483"/>
        <w:jc w:val="both"/>
        <w:rPr>
          <w:sz w:val="24"/>
          <w:szCs w:val="24"/>
        </w:rPr>
      </w:pPr>
    </w:p>
    <w:p w14:paraId="4B09C6BA" w14:textId="28D54D7E" w:rsidR="002D6A5B" w:rsidRDefault="002D6A5B" w:rsidP="002D6A5B">
      <w:pPr>
        <w:pStyle w:val="a3"/>
        <w:ind w:left="709" w:right="-483"/>
        <w:jc w:val="center"/>
        <w:rPr>
          <w:b/>
          <w:bCs/>
          <w:sz w:val="24"/>
          <w:szCs w:val="24"/>
        </w:rPr>
      </w:pPr>
      <w:r>
        <w:rPr>
          <w:b/>
          <w:bCs/>
          <w:sz w:val="24"/>
          <w:szCs w:val="24"/>
          <w:lang w:val="en-US"/>
        </w:rPr>
        <w:t>CO</w:t>
      </w:r>
      <w:r w:rsidRPr="000B5939">
        <w:rPr>
          <w:b/>
          <w:bCs/>
          <w:sz w:val="24"/>
          <w:szCs w:val="24"/>
        </w:rPr>
        <w:t xml:space="preserve">2 </w:t>
      </w:r>
      <w:r w:rsidR="000B5939">
        <w:rPr>
          <w:b/>
          <w:bCs/>
          <w:sz w:val="24"/>
          <w:szCs w:val="24"/>
        </w:rPr>
        <w:t>ΣΤΑΝΤΑΡΝΤΣ ΓΙΑ ΑΥΤΟΚΙΝΗΤΑ ΚΑΙ ΦΟΡΤΗΓΑΚΙΑ</w:t>
      </w:r>
    </w:p>
    <w:p w14:paraId="1A0AAB53" w14:textId="265B4CBF" w:rsidR="000B5939" w:rsidRDefault="000B5939" w:rsidP="000B5939">
      <w:pPr>
        <w:pStyle w:val="a3"/>
        <w:ind w:left="709" w:right="-483"/>
        <w:jc w:val="both"/>
        <w:rPr>
          <w:sz w:val="24"/>
          <w:szCs w:val="24"/>
        </w:rPr>
      </w:pPr>
    </w:p>
    <w:p w14:paraId="179BFAB4" w14:textId="11F0A5E7" w:rsidR="000B5939" w:rsidRDefault="000B5939" w:rsidP="000B5939">
      <w:pPr>
        <w:pStyle w:val="a3"/>
        <w:ind w:left="709" w:right="-483"/>
        <w:jc w:val="both"/>
        <w:rPr>
          <w:sz w:val="24"/>
          <w:szCs w:val="24"/>
        </w:rPr>
      </w:pPr>
      <w:r>
        <w:rPr>
          <w:sz w:val="24"/>
          <w:szCs w:val="24"/>
        </w:rPr>
        <w:t>Τα στανταρντς για τα αυτοκίνητα και τα φορτηγάκια θέτουν τεχνολογικά ουδέτερους στόχους για μείωση των εκπομπών έως το 2030 και έως το 2035. Το Υδρογόνο μπορεί να είναι μέρος της λύσης, ιδιαίτερα για τα βαρέου τύπου οχήματα, εάν η βιομηχανία επιλέξει να επενδύσει σε αυτή την τεχνολογία.</w:t>
      </w:r>
    </w:p>
    <w:p w14:paraId="58195A38" w14:textId="5FA7053C" w:rsidR="000B5939" w:rsidRDefault="000B5939" w:rsidP="000B5939">
      <w:pPr>
        <w:pStyle w:val="a3"/>
        <w:ind w:left="709" w:right="-483"/>
        <w:jc w:val="both"/>
        <w:rPr>
          <w:sz w:val="24"/>
          <w:szCs w:val="24"/>
        </w:rPr>
      </w:pPr>
    </w:p>
    <w:p w14:paraId="2580C868" w14:textId="455EADBE" w:rsidR="000B5939" w:rsidRDefault="000B5939" w:rsidP="000B5939">
      <w:pPr>
        <w:pStyle w:val="a3"/>
        <w:ind w:left="709" w:right="-483"/>
        <w:jc w:val="center"/>
        <w:rPr>
          <w:b/>
          <w:bCs/>
          <w:sz w:val="24"/>
          <w:szCs w:val="24"/>
        </w:rPr>
      </w:pPr>
      <w:r>
        <w:rPr>
          <w:b/>
          <w:bCs/>
          <w:sz w:val="24"/>
          <w:szCs w:val="24"/>
        </w:rPr>
        <w:t>ΘΕΣΜΙΚΟ ΠΛΑΙΣΙΟ ΓΙΑ ΤΙΣ ΥΠΟΔΟΜΕΣ ΕΝΑΛΛΑΚΚΤΙΚΩΝ ΚΑΥΣΙΜΩΝ</w:t>
      </w:r>
    </w:p>
    <w:p w14:paraId="5C3C1E26" w14:textId="095D86A1" w:rsidR="000B5939" w:rsidRDefault="000B5939" w:rsidP="000B5939">
      <w:pPr>
        <w:pStyle w:val="a3"/>
        <w:ind w:left="709" w:right="-483"/>
        <w:jc w:val="center"/>
        <w:rPr>
          <w:b/>
          <w:bCs/>
          <w:sz w:val="24"/>
          <w:szCs w:val="24"/>
        </w:rPr>
      </w:pPr>
    </w:p>
    <w:p w14:paraId="64027466" w14:textId="0EBA0E13" w:rsidR="000B5939" w:rsidRDefault="000B5939" w:rsidP="000B5939">
      <w:pPr>
        <w:pStyle w:val="a3"/>
        <w:ind w:left="709" w:right="-483"/>
        <w:jc w:val="both"/>
        <w:rPr>
          <w:sz w:val="24"/>
          <w:szCs w:val="24"/>
        </w:rPr>
      </w:pPr>
      <w:r>
        <w:rPr>
          <w:sz w:val="24"/>
          <w:szCs w:val="24"/>
        </w:rPr>
        <w:t>Το θεσμικό πλαίσιο για τις υποδομές εναλλακτικών καυσίμων θα υποστηρίξει επίσης και την ανάπτυξη</w:t>
      </w:r>
      <w:r w:rsidR="00534770">
        <w:rPr>
          <w:sz w:val="24"/>
          <w:szCs w:val="24"/>
        </w:rPr>
        <w:t xml:space="preserve"> υποδομών εναλλακτικών καυσίμων, συμπεριλαμβανομένων των σταθμών ανεφοδιασμού με Υδρογόνο.</w:t>
      </w:r>
    </w:p>
    <w:p w14:paraId="12BA9C03" w14:textId="1F6AEA51" w:rsidR="00534770" w:rsidRDefault="00534770" w:rsidP="000B5939">
      <w:pPr>
        <w:pStyle w:val="a3"/>
        <w:ind w:left="709" w:right="-483"/>
        <w:jc w:val="both"/>
        <w:rPr>
          <w:sz w:val="24"/>
          <w:szCs w:val="24"/>
        </w:rPr>
      </w:pPr>
      <w:r w:rsidRPr="00534770">
        <w:rPr>
          <w:b/>
          <w:bCs/>
          <w:sz w:val="24"/>
          <w:szCs w:val="24"/>
        </w:rPr>
        <w:t xml:space="preserve">Ένας σταθμός </w:t>
      </w:r>
      <w:r w:rsidRPr="00534770">
        <w:rPr>
          <w:b/>
          <w:bCs/>
          <w:sz w:val="24"/>
          <w:szCs w:val="24"/>
        </w:rPr>
        <w:t>ανεφοδιασμού με Υδρογόνο</w:t>
      </w:r>
      <w:r w:rsidRPr="00534770">
        <w:rPr>
          <w:b/>
          <w:bCs/>
          <w:sz w:val="24"/>
          <w:szCs w:val="24"/>
        </w:rPr>
        <w:t xml:space="preserve"> θα είναι διαθέσιμος ανά 150 </w:t>
      </w:r>
      <w:r w:rsidRPr="00534770">
        <w:rPr>
          <w:b/>
          <w:bCs/>
          <w:sz w:val="24"/>
          <w:szCs w:val="24"/>
          <w:lang w:val="en-US"/>
        </w:rPr>
        <w:t>km</w:t>
      </w:r>
      <w:r>
        <w:rPr>
          <w:sz w:val="24"/>
          <w:szCs w:val="24"/>
        </w:rPr>
        <w:t xml:space="preserve"> κατά μήκος του ΤΕΝ-Τ πυρήνα του δικτύου και σε κάθε αστικό κόμβο.</w:t>
      </w:r>
    </w:p>
    <w:p w14:paraId="63ABE244" w14:textId="77777777" w:rsidR="00534770" w:rsidRDefault="00534770" w:rsidP="000B5939">
      <w:pPr>
        <w:pStyle w:val="a3"/>
        <w:ind w:left="709" w:right="-483"/>
        <w:jc w:val="both"/>
        <w:rPr>
          <w:sz w:val="24"/>
          <w:szCs w:val="24"/>
        </w:rPr>
      </w:pPr>
    </w:p>
    <w:p w14:paraId="38A3F08D" w14:textId="04501BA1" w:rsidR="00534770" w:rsidRDefault="00534770" w:rsidP="000B5939">
      <w:pPr>
        <w:pStyle w:val="a3"/>
        <w:ind w:left="709" w:right="-483"/>
        <w:jc w:val="both"/>
        <w:rPr>
          <w:sz w:val="24"/>
          <w:szCs w:val="24"/>
        </w:rPr>
      </w:pPr>
    </w:p>
    <w:p w14:paraId="1040B121" w14:textId="17652867" w:rsidR="00534770" w:rsidRPr="00534770" w:rsidRDefault="00534770" w:rsidP="00534770">
      <w:pPr>
        <w:pStyle w:val="a3"/>
        <w:ind w:left="709" w:right="-483"/>
        <w:jc w:val="center"/>
        <w:rPr>
          <w:b/>
          <w:bCs/>
          <w:sz w:val="24"/>
          <w:szCs w:val="24"/>
        </w:rPr>
      </w:pPr>
      <w:r>
        <w:rPr>
          <w:b/>
          <w:bCs/>
          <w:sz w:val="24"/>
          <w:szCs w:val="24"/>
        </w:rPr>
        <w:lastRenderedPageBreak/>
        <w:t xml:space="preserve">ΠΡΟΤΑΣΗ ΓΙΑ ΘΑΛΑΣΣΙΕΣ ΜΕΤΑΦΟΡΕΣ </w:t>
      </w:r>
      <w:r>
        <w:rPr>
          <w:b/>
          <w:bCs/>
          <w:sz w:val="24"/>
          <w:szCs w:val="24"/>
          <w:lang w:val="en-US"/>
        </w:rPr>
        <w:t>FUEL</w:t>
      </w:r>
      <w:r w:rsidRPr="00534770">
        <w:rPr>
          <w:b/>
          <w:bCs/>
          <w:sz w:val="24"/>
          <w:szCs w:val="24"/>
        </w:rPr>
        <w:t xml:space="preserve"> </w:t>
      </w:r>
      <w:r>
        <w:rPr>
          <w:b/>
          <w:bCs/>
          <w:sz w:val="24"/>
          <w:szCs w:val="24"/>
          <w:lang w:val="en-US"/>
        </w:rPr>
        <w:t>EU</w:t>
      </w:r>
    </w:p>
    <w:p w14:paraId="1ECBC280" w14:textId="09F15C21" w:rsidR="00534770" w:rsidRDefault="00534770" w:rsidP="00534770">
      <w:pPr>
        <w:pStyle w:val="a3"/>
        <w:ind w:left="709" w:right="-483"/>
        <w:jc w:val="center"/>
        <w:rPr>
          <w:b/>
          <w:bCs/>
          <w:sz w:val="24"/>
          <w:szCs w:val="24"/>
        </w:rPr>
      </w:pPr>
    </w:p>
    <w:p w14:paraId="0B68173D" w14:textId="2811D2BE" w:rsidR="00534770" w:rsidRDefault="00534770" w:rsidP="00534770">
      <w:pPr>
        <w:pStyle w:val="a3"/>
        <w:ind w:left="709" w:right="-483"/>
        <w:jc w:val="both"/>
        <w:rPr>
          <w:sz w:val="24"/>
          <w:szCs w:val="24"/>
        </w:rPr>
      </w:pPr>
      <w:r>
        <w:rPr>
          <w:sz w:val="24"/>
          <w:szCs w:val="24"/>
        </w:rPr>
        <w:t xml:space="preserve">Η Πρόταση </w:t>
      </w:r>
      <w:r>
        <w:rPr>
          <w:sz w:val="24"/>
          <w:szCs w:val="24"/>
          <w:lang w:val="en-US"/>
        </w:rPr>
        <w:t>FUEL</w:t>
      </w:r>
      <w:r w:rsidRPr="00534770">
        <w:rPr>
          <w:sz w:val="24"/>
          <w:szCs w:val="24"/>
        </w:rPr>
        <w:t xml:space="preserve"> </w:t>
      </w:r>
      <w:r>
        <w:rPr>
          <w:sz w:val="24"/>
          <w:szCs w:val="24"/>
          <w:lang w:val="en-US"/>
        </w:rPr>
        <w:t>EU</w:t>
      </w:r>
      <w:r w:rsidRPr="00534770">
        <w:rPr>
          <w:sz w:val="24"/>
          <w:szCs w:val="24"/>
        </w:rPr>
        <w:t xml:space="preserve"> </w:t>
      </w:r>
      <w:r>
        <w:rPr>
          <w:sz w:val="24"/>
          <w:szCs w:val="24"/>
        </w:rPr>
        <w:t>για τα Ναυτιλιακά, καλύπτει όλα τα ανανεώσιμα και χαμηλών εκπομπών άνθρακα καύσιμα, συμπεριλαμβανομένου του απανθρακοποιημένου Υδρογόνου και των καυσίμων παραγώγων του απανθρακοποιημένου Υδρογόνου (και της μεθανόλης και της αμμωνίας).</w:t>
      </w:r>
    </w:p>
    <w:p w14:paraId="4ECE7AD8" w14:textId="624B96AB" w:rsidR="00534770" w:rsidRDefault="00534770" w:rsidP="00534770">
      <w:pPr>
        <w:pStyle w:val="a3"/>
        <w:ind w:left="709" w:right="-483"/>
        <w:jc w:val="both"/>
        <w:rPr>
          <w:sz w:val="24"/>
          <w:szCs w:val="24"/>
        </w:rPr>
      </w:pPr>
    </w:p>
    <w:p w14:paraId="08E01509" w14:textId="09179DDD" w:rsidR="00534770" w:rsidRDefault="00534770" w:rsidP="00534770">
      <w:pPr>
        <w:pStyle w:val="a3"/>
        <w:ind w:left="709" w:right="-483"/>
        <w:jc w:val="center"/>
        <w:rPr>
          <w:b/>
          <w:bCs/>
          <w:sz w:val="24"/>
          <w:szCs w:val="24"/>
        </w:rPr>
      </w:pPr>
      <w:r>
        <w:rPr>
          <w:b/>
          <w:bCs/>
          <w:sz w:val="24"/>
          <w:szCs w:val="24"/>
        </w:rPr>
        <w:t>ΠΡΟΤΑΣΗ ΓΙΑ ΤΟ ΕΥΡΩΠΑΪΚΟ ΣΥΣΤΗΜΑ ΕΜΠΟΡΙΑΣ ΔΙΚΑΙΩΜΑΤΩΝ ΕΚΠΟΜΠΩΝ</w:t>
      </w:r>
    </w:p>
    <w:p w14:paraId="6A0FEDB7" w14:textId="001F7BCC" w:rsidR="00534770" w:rsidRDefault="00534770" w:rsidP="00534770">
      <w:pPr>
        <w:pStyle w:val="a3"/>
        <w:ind w:left="709" w:right="-483"/>
        <w:jc w:val="center"/>
        <w:rPr>
          <w:b/>
          <w:bCs/>
          <w:sz w:val="24"/>
          <w:szCs w:val="24"/>
        </w:rPr>
      </w:pPr>
    </w:p>
    <w:p w14:paraId="52DCED51" w14:textId="0721BF18" w:rsidR="00534770" w:rsidRDefault="00534770" w:rsidP="00534770">
      <w:pPr>
        <w:pStyle w:val="a3"/>
        <w:ind w:left="709" w:right="-483"/>
        <w:jc w:val="both"/>
        <w:rPr>
          <w:sz w:val="24"/>
          <w:szCs w:val="24"/>
        </w:rPr>
      </w:pPr>
      <w:r>
        <w:rPr>
          <w:sz w:val="24"/>
          <w:szCs w:val="24"/>
        </w:rPr>
        <w:t>Η</w:t>
      </w:r>
      <w:r w:rsidRPr="00534770">
        <w:rPr>
          <w:sz w:val="24"/>
          <w:szCs w:val="24"/>
        </w:rPr>
        <w:t xml:space="preserve"> </w:t>
      </w:r>
      <w:r>
        <w:rPr>
          <w:sz w:val="24"/>
          <w:szCs w:val="24"/>
        </w:rPr>
        <w:t xml:space="preserve">πρόταση για το ευρωπαϊκό σύστημα εμπορίας δικαιωμάτων εκπομπών, θα συμπεριλαμβάνει την παραγωγή </w:t>
      </w:r>
      <w:r w:rsidR="003B4191">
        <w:rPr>
          <w:sz w:val="24"/>
          <w:szCs w:val="24"/>
        </w:rPr>
        <w:t>Υδρογόνου από ηλεκτρολύτες, καθιστώντας τις ανανεώσιμες και χαμηλών εκπομπών δομές επιλέξιμες για δωρεάν δικαιώματα.</w:t>
      </w:r>
    </w:p>
    <w:p w14:paraId="34ACA8E7" w14:textId="5ED86DB3" w:rsidR="003B4191" w:rsidRDefault="003B4191" w:rsidP="00534770">
      <w:pPr>
        <w:pStyle w:val="a3"/>
        <w:ind w:left="709" w:right="-483"/>
        <w:jc w:val="both"/>
        <w:rPr>
          <w:sz w:val="24"/>
          <w:szCs w:val="24"/>
        </w:rPr>
      </w:pPr>
    </w:p>
    <w:p w14:paraId="2FF54651" w14:textId="1F94ED92" w:rsidR="003B4191" w:rsidRDefault="003B4191" w:rsidP="003B4191">
      <w:pPr>
        <w:pStyle w:val="a3"/>
        <w:ind w:left="709" w:right="-483"/>
        <w:jc w:val="center"/>
        <w:rPr>
          <w:b/>
          <w:bCs/>
          <w:sz w:val="24"/>
          <w:szCs w:val="24"/>
        </w:rPr>
      </w:pPr>
      <w:r>
        <w:rPr>
          <w:b/>
          <w:bCs/>
          <w:sz w:val="24"/>
          <w:szCs w:val="24"/>
        </w:rPr>
        <w:t>ΟΔΗΓΙΑ ΓΙΑ ΦΟΡΟΛΟΓΗΣΗ ΤΗΣ ΕΝΕΡΓΕΙΑΣ</w:t>
      </w:r>
    </w:p>
    <w:p w14:paraId="2F6AB4C9" w14:textId="2BA64615" w:rsidR="003B4191" w:rsidRDefault="003B4191" w:rsidP="003B4191">
      <w:pPr>
        <w:pStyle w:val="a3"/>
        <w:ind w:left="709" w:right="-483"/>
        <w:jc w:val="center"/>
        <w:rPr>
          <w:b/>
          <w:bCs/>
          <w:sz w:val="24"/>
          <w:szCs w:val="24"/>
        </w:rPr>
      </w:pPr>
    </w:p>
    <w:p w14:paraId="24DB5CE9" w14:textId="2CDC8F4A" w:rsidR="003B4191" w:rsidRDefault="003B4191" w:rsidP="003B4191">
      <w:pPr>
        <w:pStyle w:val="a3"/>
        <w:ind w:left="709" w:right="-483"/>
        <w:jc w:val="both"/>
        <w:rPr>
          <w:sz w:val="24"/>
          <w:szCs w:val="24"/>
        </w:rPr>
      </w:pPr>
      <w:r>
        <w:rPr>
          <w:sz w:val="24"/>
          <w:szCs w:val="24"/>
        </w:rPr>
        <w:t>Η Οδηγία για τη φορολόγηση της Ενέργειας ορίζει προνομιακά ποσοστά φορολόγησης για τη χρήση ανανεώσιμου ή χαμηλών εκπομπών άνθρακα Υδρογόνου για τους τελικούς καταναλωτές.</w:t>
      </w:r>
    </w:p>
    <w:p w14:paraId="2471D4BD" w14:textId="26AC29B0" w:rsidR="003B4191" w:rsidRPr="003B4191" w:rsidRDefault="003B4191" w:rsidP="003B4191">
      <w:pPr>
        <w:pStyle w:val="a3"/>
        <w:ind w:left="709" w:right="-483"/>
        <w:jc w:val="both"/>
        <w:rPr>
          <w:sz w:val="24"/>
          <w:szCs w:val="24"/>
        </w:rPr>
      </w:pPr>
      <w:r>
        <w:rPr>
          <w:sz w:val="24"/>
          <w:szCs w:val="24"/>
        </w:rPr>
        <w:t xml:space="preserve">Το θεσμικό πλαίσιο της πολιτικής για το Υδρογόνο θα ολοκληρωθεί το Δεκέμβριο. Η Κομισιόν θα προωθήσει προτάσεις για το Υδρογόνο και την απανθρακοποίηση των αγορών αερίου, ώστε να θέσει το ρυθμιστικό πλαίσιο για τους τομείς αυτούς. </w:t>
      </w:r>
    </w:p>
    <w:p w14:paraId="0420E718" w14:textId="7D4E3252" w:rsidR="00534770" w:rsidRPr="00534770" w:rsidRDefault="00534770" w:rsidP="00534770">
      <w:pPr>
        <w:pStyle w:val="a3"/>
        <w:ind w:left="709" w:right="-483"/>
        <w:jc w:val="center"/>
        <w:rPr>
          <w:b/>
          <w:bCs/>
          <w:sz w:val="24"/>
          <w:szCs w:val="24"/>
        </w:rPr>
      </w:pPr>
    </w:p>
    <w:p w14:paraId="3BED733E" w14:textId="77777777" w:rsidR="00534770" w:rsidRPr="00534770" w:rsidRDefault="00534770" w:rsidP="00534770">
      <w:pPr>
        <w:pStyle w:val="a3"/>
        <w:ind w:left="709" w:right="-483"/>
        <w:jc w:val="center"/>
        <w:rPr>
          <w:b/>
          <w:bCs/>
          <w:sz w:val="24"/>
          <w:szCs w:val="24"/>
        </w:rPr>
      </w:pPr>
    </w:p>
    <w:sectPr w:rsidR="00534770" w:rsidRPr="005347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1018B"/>
    <w:multiLevelType w:val="hybridMultilevel"/>
    <w:tmpl w:val="CBDC5F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2D9423C"/>
    <w:multiLevelType w:val="hybridMultilevel"/>
    <w:tmpl w:val="59BE62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7C534101"/>
    <w:multiLevelType w:val="hybridMultilevel"/>
    <w:tmpl w:val="F0E672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834"/>
    <w:rsid w:val="000B5939"/>
    <w:rsid w:val="002D6A5B"/>
    <w:rsid w:val="003B4191"/>
    <w:rsid w:val="00534770"/>
    <w:rsid w:val="00661834"/>
    <w:rsid w:val="00F875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1D9C"/>
  <w15:chartTrackingRefBased/>
  <w15:docId w15:val="{F064283A-F2DE-400A-BDE3-5EA6A284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462</Words>
  <Characters>2496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Μπήινα</dc:creator>
  <cp:keywords/>
  <dc:description/>
  <cp:lastModifiedBy>Ελένη Μπήινα</cp:lastModifiedBy>
  <cp:revision>2</cp:revision>
  <dcterms:created xsi:type="dcterms:W3CDTF">2021-07-15T07:30:00Z</dcterms:created>
  <dcterms:modified xsi:type="dcterms:W3CDTF">2021-07-15T08:06:00Z</dcterms:modified>
</cp:coreProperties>
</file>