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B021" w14:textId="70540B64" w:rsidR="00502F0D" w:rsidRPr="00794EBB" w:rsidRDefault="005B76F6" w:rsidP="00525CC2">
      <w:pPr>
        <w:rPr>
          <w:lang w:val="en-US"/>
        </w:rPr>
      </w:pPr>
      <w:r w:rsidRPr="00C907C9">
        <w:rPr>
          <w:rFonts w:ascii="Times New Roman" w:eastAsia="Times New Roman" w:hAnsi="Times New Roman" w:cs="Trebuchet MS"/>
          <w:iCs/>
          <w:noProof/>
          <w:color w:val="595959"/>
          <w:sz w:val="18"/>
          <w:szCs w:val="18"/>
        </w:rPr>
        <mc:AlternateContent>
          <mc:Choice Requires="wps">
            <w:drawing>
              <wp:anchor distT="0" distB="0" distL="114300" distR="114300" simplePos="0" relativeHeight="251658242" behindDoc="0" locked="0" layoutInCell="1" allowOverlap="1" wp14:anchorId="480FB50C" wp14:editId="5E35FC75">
                <wp:simplePos x="0" y="0"/>
                <wp:positionH relativeFrom="page">
                  <wp:posOffset>-571500</wp:posOffset>
                </wp:positionH>
                <wp:positionV relativeFrom="page">
                  <wp:posOffset>228600</wp:posOffset>
                </wp:positionV>
                <wp:extent cx="7067550" cy="3142800"/>
                <wp:effectExtent l="0" t="0" r="0" b="635"/>
                <wp:wrapSquare wrapText="bothSides"/>
                <wp:docPr id="154" name="Text Box 54"/>
                <wp:cNvGraphicFramePr/>
                <a:graphic xmlns:a="http://schemas.openxmlformats.org/drawingml/2006/main">
                  <a:graphicData uri="http://schemas.microsoft.com/office/word/2010/wordprocessingShape">
                    <wps:wsp>
                      <wps:cNvSpPr txBox="1"/>
                      <wps:spPr>
                        <a:xfrm>
                          <a:off x="0" y="0"/>
                          <a:ext cx="7067550" cy="3142800"/>
                        </a:xfrm>
                        <a:prstGeom prst="rect">
                          <a:avLst/>
                        </a:prstGeom>
                        <a:noFill/>
                        <a:ln w="6350">
                          <a:noFill/>
                        </a:ln>
                        <a:effectLst/>
                      </wps:spPr>
                      <wps:txbx>
                        <w:txbxContent>
                          <w:p w14:paraId="1598B412" w14:textId="5E226532" w:rsidR="005376C1" w:rsidRPr="00C907C9" w:rsidRDefault="00000000" w:rsidP="008572D7">
                            <w:pPr>
                              <w:pStyle w:val="Title"/>
                              <w:spacing w:after="120"/>
                              <w:jc w:val="left"/>
                              <w:rPr>
                                <w:rStyle w:val="SubtleEmphasis"/>
                                <w:b w:val="0"/>
                                <w:bCs/>
                                <w:color w:val="C3D69B" w:themeColor="accent3"/>
                                <w:sz w:val="70"/>
                                <w:szCs w:val="70"/>
                              </w:rPr>
                            </w:pPr>
                            <w:sdt>
                              <w:sdtPr>
                                <w:rPr>
                                  <w:rFonts w:ascii="Trebuchet MS" w:hAnsi="Trebuchet MS"/>
                                  <w:b/>
                                  <w:bCs/>
                                  <w:color w:val="C3D69B" w:themeColor="accent3"/>
                                  <w:sz w:val="70"/>
                                  <w:szCs w:val="7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8572D7" w:rsidRPr="008572D7">
                                  <w:rPr>
                                    <w:b/>
                                    <w:bCs/>
                                    <w:color w:val="C3D69B" w:themeColor="accent3"/>
                                    <w:sz w:val="70"/>
                                    <w:szCs w:val="70"/>
                                  </w:rPr>
                                  <w:t>Πο</w:t>
                                </w:r>
                                <w:r w:rsidR="008572D7">
                                  <w:rPr>
                                    <w:b/>
                                    <w:bCs/>
                                    <w:color w:val="C3D69B" w:themeColor="accent3"/>
                                    <w:sz w:val="70"/>
                                    <w:szCs w:val="70"/>
                                  </w:rPr>
                                  <w:t>ύ</w:t>
                                </w:r>
                                <w:r w:rsidR="008572D7" w:rsidRPr="008572D7">
                                  <w:rPr>
                                    <w:b/>
                                    <w:bCs/>
                                    <w:color w:val="C3D69B" w:themeColor="accent3"/>
                                    <w:sz w:val="70"/>
                                    <w:szCs w:val="70"/>
                                  </w:rPr>
                                  <w:t xml:space="preserve"> οφείλονται οι υψηλές τιμές ηλεκτρικής ενέργειας;</w:t>
                                </w:r>
                              </w:sdtContent>
                            </w:sdt>
                          </w:p>
                          <w:p w14:paraId="56468EB9" w14:textId="2E80236F" w:rsidR="00D8727B" w:rsidRPr="00C907C9" w:rsidRDefault="005376C1" w:rsidP="005B76F6">
                            <w:pPr>
                              <w:pStyle w:val="Title"/>
                              <w:spacing w:before="360"/>
                              <w:contextualSpacing w:val="0"/>
                              <w:jc w:val="left"/>
                              <w:rPr>
                                <w:rStyle w:val="SubtleEmphasis"/>
                                <w:color w:val="FFFFFF"/>
                              </w:rPr>
                            </w:pPr>
                            <w:r w:rsidRPr="00C907C9">
                              <w:rPr>
                                <w:rStyle w:val="SubtleEmphasis"/>
                                <w:color w:val="FFFFFF"/>
                              </w:rPr>
                              <w:t xml:space="preserve">Ενημερωτικό Σημείωμα – </w:t>
                            </w:r>
                            <w:r w:rsidR="0071014D">
                              <w:rPr>
                                <w:rStyle w:val="SubtleEmphasis"/>
                                <w:color w:val="FFFFFF"/>
                              </w:rPr>
                              <w:t>Δεκέμβριος</w:t>
                            </w:r>
                            <w:r w:rsidRPr="00C907C9">
                              <w:rPr>
                                <w:rStyle w:val="SubtleEmphasis"/>
                                <w:color w:val="FFFFFF"/>
                              </w:rPr>
                              <w:t xml:space="preserve"> 2025</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0FB50C" id="_x0000_t202" coordsize="21600,21600" o:spt="202" path="m,l,21600r21600,l21600,xe">
                <v:stroke joinstyle="miter"/>
                <v:path gradientshapeok="t" o:connecttype="rect"/>
              </v:shapetype>
              <v:shape id="Text Box 54" o:spid="_x0000_s1026" type="#_x0000_t202" style="position:absolute;left:0;text-align:left;margin-left:-45pt;margin-top:18pt;width:556.5pt;height:247.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4UHwIAADYEAAAOAAAAZHJzL2Uyb0RvYy54bWysU99v2jAQfp+0/8Hy+0igg6KIULFWTJNQ&#10;W4lOfTaOTSLZPs82JOyv39kJ0HV7mvbinO8u9+P7Pi/uOq3IUTjfgCnpeJRTIgyHqjH7kn5/WX+a&#10;U+IDMxVTYERJT8LTu+XHD4vWFmICNahKOIJFjC9aW9I6BFtkmee10MyPwAqDQQlOs4BXt88qx1qs&#10;rlU2yfNZ1oKrrAMuvEfvQx+ky1RfSsHDk5ReBKJKirOFdLp07uKZLRes2Dtm64YPY7B/mEKzxmDT&#10;S6kHFhg5uOaPUrrhDjzIMOKgM5Cy4SLtgNuM83fbbGtmRdoFwfH2ApP/f2X543Frnx0J3RfokMAI&#10;SGt94dEZ9+mk0/GLkxKMI4SnC2yiC4Sj8zaf3U6nGOIYuxl/nszzBGx2/d06H74K0CQaJXXIS4KL&#10;HTc+YEtMPafEbgbWjVKJG2VIW9LZDdb/LYJ/KBM9IrE8lLmOHq3Q7bphnx1UJ1zTQa8Ab/m6wVE2&#10;zIdn5pByHB9lHJ7wkAqwJQwWJTW4n3/zx3xkAqOUtCihkvofB+YEJeqbQY7GszxHjaLq0hUNl4zZ&#10;fBoRIruz2xz0PaBAx/hWLE9mTA7qbEoH+hWFvooNMcQMx7Yl3Z3N+9BrGh8KF6tVSkKBWRY2Zmt5&#10;LB2xihi/dK/M2YGIgBw+wllnrHjHR5/b4746BJBNIiti2wOKzMULijNxODykqP6395R1fe7LXwAA&#10;AP//AwBQSwMEFAAGAAgAAAAhAIXHYR7gAAAACwEAAA8AAABkcnMvZG93bnJldi54bWxMj0FPwzAM&#10;he9I/IfISNy2hJVNrNSdECpCGicGCHHLGpNWa5yqybby75edxsm23tPz94rV6DpxoCG0nhHupgoE&#10;ce1Nyxbh8+Nl8gAiRM1Gd54J4Y8CrMrrq0Lnxh/5nQ6baEUK4ZBrhCbGPpcy1A05Haa+J07arx+c&#10;jukcrDSDPqZw18mZUgvpdMvpQ6N7em6o3m32DqFa8yu92cyu77n69tV8p79+FOLtzfj0CCLSGC9m&#10;OOMndCgT09bv2QTRIUyWKnWJCNkizbNBzbK0bRHmmVqCLAv5v0N5AgAA//8DAFBLAQItABQABgAI&#10;AAAAIQC2gziS/gAAAOEBAAATAAAAAAAAAAAAAAAAAAAAAABbQ29udGVudF9UeXBlc10ueG1sUEsB&#10;Ai0AFAAGAAgAAAAhADj9If/WAAAAlAEAAAsAAAAAAAAAAAAAAAAALwEAAF9yZWxzLy5yZWxzUEsB&#10;Ai0AFAAGAAgAAAAhAK8jThQfAgAANgQAAA4AAAAAAAAAAAAAAAAALgIAAGRycy9lMm9Eb2MueG1s&#10;UEsBAi0AFAAGAAgAAAAhAIXHYR7gAAAACwEAAA8AAAAAAAAAAAAAAAAAeQQAAGRycy9kb3ducmV2&#10;LnhtbFBLBQYAAAAABAAEAPMAAACGBQAAAAA=&#10;" filled="f" stroked="f" strokeweight=".5pt">
                <v:textbox inset="126pt,0,54pt,0">
                  <w:txbxContent>
                    <w:p w14:paraId="1598B412" w14:textId="5E226532" w:rsidR="005376C1" w:rsidRPr="00C907C9" w:rsidRDefault="00000000" w:rsidP="008572D7">
                      <w:pPr>
                        <w:pStyle w:val="Title"/>
                        <w:spacing w:after="120"/>
                        <w:jc w:val="left"/>
                        <w:rPr>
                          <w:rStyle w:val="SubtleEmphasis"/>
                          <w:b w:val="0"/>
                          <w:bCs/>
                          <w:color w:val="C3D69B" w:themeColor="accent3"/>
                          <w:sz w:val="70"/>
                          <w:szCs w:val="70"/>
                        </w:rPr>
                      </w:pPr>
                      <w:sdt>
                        <w:sdtPr>
                          <w:rPr>
                            <w:rFonts w:ascii="Trebuchet MS" w:hAnsi="Trebuchet MS"/>
                            <w:b/>
                            <w:bCs/>
                            <w:color w:val="C3D69B" w:themeColor="accent3"/>
                            <w:sz w:val="70"/>
                            <w:szCs w:val="7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8572D7" w:rsidRPr="008572D7">
                            <w:rPr>
                              <w:b/>
                              <w:bCs/>
                              <w:color w:val="C3D69B" w:themeColor="accent3"/>
                              <w:sz w:val="70"/>
                              <w:szCs w:val="70"/>
                            </w:rPr>
                            <w:t>Πο</w:t>
                          </w:r>
                          <w:r w:rsidR="008572D7">
                            <w:rPr>
                              <w:b/>
                              <w:bCs/>
                              <w:color w:val="C3D69B" w:themeColor="accent3"/>
                              <w:sz w:val="70"/>
                              <w:szCs w:val="70"/>
                            </w:rPr>
                            <w:t>ύ</w:t>
                          </w:r>
                          <w:r w:rsidR="008572D7" w:rsidRPr="008572D7">
                            <w:rPr>
                              <w:b/>
                              <w:bCs/>
                              <w:color w:val="C3D69B" w:themeColor="accent3"/>
                              <w:sz w:val="70"/>
                              <w:szCs w:val="70"/>
                            </w:rPr>
                            <w:t xml:space="preserve"> οφείλονται οι υψηλές τιμές ηλεκτρικής ενέργειας;</w:t>
                          </w:r>
                        </w:sdtContent>
                      </w:sdt>
                    </w:p>
                    <w:p w14:paraId="56468EB9" w14:textId="2E80236F" w:rsidR="00D8727B" w:rsidRPr="00C907C9" w:rsidRDefault="005376C1" w:rsidP="005B76F6">
                      <w:pPr>
                        <w:pStyle w:val="Title"/>
                        <w:spacing w:before="360"/>
                        <w:contextualSpacing w:val="0"/>
                        <w:jc w:val="left"/>
                        <w:rPr>
                          <w:rStyle w:val="SubtleEmphasis"/>
                          <w:color w:val="FFFFFF"/>
                        </w:rPr>
                      </w:pPr>
                      <w:r w:rsidRPr="00C907C9">
                        <w:rPr>
                          <w:rStyle w:val="SubtleEmphasis"/>
                          <w:color w:val="FFFFFF"/>
                        </w:rPr>
                        <w:t xml:space="preserve">Ενημερωτικό Σημείωμα – </w:t>
                      </w:r>
                      <w:r w:rsidR="0071014D">
                        <w:rPr>
                          <w:rStyle w:val="SubtleEmphasis"/>
                          <w:color w:val="FFFFFF"/>
                        </w:rPr>
                        <w:t>Δεκέμβριος</w:t>
                      </w:r>
                      <w:r w:rsidRPr="00C907C9">
                        <w:rPr>
                          <w:rStyle w:val="SubtleEmphasis"/>
                          <w:color w:val="FFFFFF"/>
                        </w:rPr>
                        <w:t xml:space="preserve"> 2025</w:t>
                      </w:r>
                    </w:p>
                  </w:txbxContent>
                </v:textbox>
                <w10:wrap type="square" anchorx="page" anchory="page"/>
              </v:shape>
            </w:pict>
          </mc:Fallback>
        </mc:AlternateContent>
      </w:r>
    </w:p>
    <w:p w14:paraId="1AD318B8" w14:textId="77777777" w:rsidR="00502F0D" w:rsidRPr="00C907C9" w:rsidRDefault="00502F0D" w:rsidP="00525CC2"/>
    <w:p w14:paraId="6A19D93F" w14:textId="13098C32" w:rsidR="00836B32" w:rsidRPr="00C907C9" w:rsidRDefault="00202A32" w:rsidP="00C627C0">
      <w:pPr>
        <w:pStyle w:val="Heading2"/>
      </w:pPr>
      <w:r w:rsidRPr="00C907C9">
        <w:t>Εισαγωγή</w:t>
      </w:r>
    </w:p>
    <w:p w14:paraId="094E435C" w14:textId="77777777" w:rsidR="0075099E" w:rsidRPr="00C907C9" w:rsidRDefault="0075099E" w:rsidP="0075099E">
      <w:pPr>
        <w:spacing w:after="0" w:line="276" w:lineRule="auto"/>
      </w:pPr>
    </w:p>
    <w:p w14:paraId="7EE55958" w14:textId="08AB628B" w:rsidR="003E6C28" w:rsidRPr="00C907C9" w:rsidRDefault="003E6C28" w:rsidP="0075099E">
      <w:pPr>
        <w:spacing w:after="0" w:line="276" w:lineRule="auto"/>
      </w:pPr>
      <w:r w:rsidRPr="00C907C9">
        <w:t xml:space="preserve">Η χονδρεμπορική αγορά ηλεκτρικής ενέργειας της Ελλάδας συγκαταλέγεται συστηματικά ανάμεσα στις ακριβότερες της Ευρώπης. Το 2024 η Ελλάδα κατατάχθηκε </w:t>
      </w:r>
      <w:r w:rsidR="000A2927" w:rsidRPr="00C907C9">
        <w:t>6</w:t>
      </w:r>
      <w:r w:rsidRPr="00C907C9">
        <w:rPr>
          <w:vertAlign w:val="superscript"/>
        </w:rPr>
        <w:t>η</w:t>
      </w:r>
      <w:r w:rsidRPr="00C907C9">
        <w:t>,</w:t>
      </w:r>
      <w:r w:rsidR="003517F1" w:rsidRPr="00C907C9">
        <w:t xml:space="preserve"> </w:t>
      </w:r>
      <w:r w:rsidRPr="00C907C9">
        <w:t xml:space="preserve">ενώ τους πρώτους 10  μήνες του 2025 βρίσκεται στην </w:t>
      </w:r>
      <w:r w:rsidR="00D91F5E" w:rsidRPr="00C907C9">
        <w:t>7</w:t>
      </w:r>
      <w:r w:rsidRPr="00C907C9">
        <w:rPr>
          <w:vertAlign w:val="superscript"/>
        </w:rPr>
        <w:t>η</w:t>
      </w:r>
      <w:r w:rsidRPr="00C907C9">
        <w:t xml:space="preserve"> θέση</w:t>
      </w:r>
      <w:r w:rsidR="00993A32" w:rsidRPr="00C907C9">
        <w:rPr>
          <w:rStyle w:val="FootnoteReference"/>
        </w:rPr>
        <w:footnoteReference w:id="1"/>
      </w:r>
      <w:r w:rsidRPr="00C907C9">
        <w:t>. Όπως δείχνουν τα στοιχεία της ΡΑΕΕΥ</w:t>
      </w:r>
      <w:r w:rsidRPr="00C907C9">
        <w:rPr>
          <w:rStyle w:val="FootnoteReference"/>
        </w:rPr>
        <w:footnoteReference w:id="2"/>
      </w:r>
      <w:r w:rsidR="003517F1" w:rsidRPr="00C907C9">
        <w:t>,</w:t>
      </w:r>
      <w:r w:rsidRPr="00C907C9">
        <w:t xml:space="preserve"> </w:t>
      </w:r>
      <w:r w:rsidR="003517F1" w:rsidRPr="00C907C9">
        <w:t>η</w:t>
      </w:r>
      <w:r w:rsidRPr="00C907C9">
        <w:t xml:space="preserve"> τιμή της χονδρεμπορικής εμφανίζει μεγάλη συσχέτιση με τις τιμές στη λιανική </w:t>
      </w:r>
      <w:r w:rsidR="003517F1" w:rsidRPr="00C907C9">
        <w:t xml:space="preserve">αγορά </w:t>
      </w:r>
      <w:r w:rsidRPr="00C907C9">
        <w:t>της χώρας, ιδιαίτερα σε ό,τι αφορά</w:t>
      </w:r>
      <w:r w:rsidR="00042F6F" w:rsidRPr="00C907C9">
        <w:t xml:space="preserve"> </w:t>
      </w:r>
      <w:r w:rsidRPr="00C907C9">
        <w:t>τα ειδικά (πράσινα) τιμολόγια</w:t>
      </w:r>
      <w:r w:rsidR="00042F6F" w:rsidRPr="00C907C9">
        <w:t>,</w:t>
      </w:r>
      <w:r w:rsidRPr="00C907C9">
        <w:t xml:space="preserve"> τα οποία εξακολουθούν να κατέχουν τη μερίδα του λέοντος</w:t>
      </w:r>
      <w:r w:rsidR="00042F6F" w:rsidRPr="00C907C9">
        <w:t xml:space="preserve"> της λιανικής αγοράς</w:t>
      </w:r>
      <w:r w:rsidR="00042F6F" w:rsidRPr="00C907C9">
        <w:rPr>
          <w:rStyle w:val="FootnoteReference"/>
        </w:rPr>
        <w:footnoteReference w:id="3"/>
      </w:r>
      <w:r w:rsidRPr="00C907C9">
        <w:t>.</w:t>
      </w:r>
      <w:r w:rsidR="00BB1ADC" w:rsidRPr="00C907C9">
        <w:t xml:space="preserve"> Οι τιμές στη χονδρεμπορική</w:t>
      </w:r>
      <w:r w:rsidR="00067A61" w:rsidRPr="00C907C9">
        <w:t xml:space="preserve">, παρά το γεγονός ότι δεν ταυτίζονται με το τελικό κόστος ενέργειας </w:t>
      </w:r>
      <w:r w:rsidR="009D5FF6" w:rsidRPr="00C907C9">
        <w:t>για τους καταναλωτές</w:t>
      </w:r>
      <w:r w:rsidR="003871AE" w:rsidRPr="00C907C9">
        <w:rPr>
          <w:rStyle w:val="FootnoteReference"/>
        </w:rPr>
        <w:footnoteReference w:id="4"/>
      </w:r>
      <w:r w:rsidR="009D5FF6" w:rsidRPr="00C907C9">
        <w:t>, επηρεάζουν τις τιμές που χρεώνουν οι προμηθευτές</w:t>
      </w:r>
      <w:r w:rsidR="0004796E" w:rsidRPr="00C907C9">
        <w:t xml:space="preserve"> αφού αποτελούν </w:t>
      </w:r>
      <w:r w:rsidR="009D61DC" w:rsidRPr="00C907C9">
        <w:t xml:space="preserve">το 70% της τελικής </w:t>
      </w:r>
      <w:r w:rsidR="00311533" w:rsidRPr="00C907C9">
        <w:t xml:space="preserve">τιμής </w:t>
      </w:r>
      <w:r w:rsidR="006D3C3F">
        <w:t>που πληρώνουν οι καταναλωτές</w:t>
      </w:r>
      <w:r w:rsidR="009C4A4E" w:rsidRPr="00C907C9">
        <w:rPr>
          <w:rStyle w:val="FootnoteReference"/>
        </w:rPr>
        <w:footnoteReference w:id="5"/>
      </w:r>
      <w:r w:rsidR="009D5FF6" w:rsidRPr="00C907C9">
        <w:t>.</w:t>
      </w:r>
      <w:r w:rsidRPr="00C907C9">
        <w:t xml:space="preserve"> Συνεπώς, οι υψηλές τιμές στη χονδρεμπορική έχουν άμεση επίπτωση στα οικονομικά των νοικοκυριών και των επιχειρήσεων. Φυσικό επακόλουθο είναι το ζήτημα των τιμών να απασχολεί τον δημόσιο διάλογο, οδηγώντας πολύ συχνά σε έντονες αντιπαραθέσεις</w:t>
      </w:r>
      <w:r w:rsidR="00042F6F" w:rsidRPr="00C907C9">
        <w:t xml:space="preserve"> εντός και εκτός Βουλής</w:t>
      </w:r>
      <w:r w:rsidRPr="00C907C9">
        <w:t xml:space="preserve">, ενίοτε και σε </w:t>
      </w:r>
      <w:r w:rsidR="00042F6F" w:rsidRPr="00C907C9">
        <w:t>παρανοήσεις</w:t>
      </w:r>
      <w:r w:rsidR="00655A2F" w:rsidRPr="00C907C9">
        <w:t xml:space="preserve"> σχετικά</w:t>
      </w:r>
      <w:r w:rsidRPr="00C907C9">
        <w:t xml:space="preserve"> </w:t>
      </w:r>
      <w:r w:rsidR="00655A2F" w:rsidRPr="00C907C9">
        <w:t xml:space="preserve">με </w:t>
      </w:r>
      <w:r w:rsidR="005403F9">
        <w:t>τ</w:t>
      </w:r>
      <w:r w:rsidR="003F3C2F">
        <w:t>ου</w:t>
      </w:r>
      <w:r w:rsidR="005403F9">
        <w:t>ς</w:t>
      </w:r>
      <w:r w:rsidR="005403F9" w:rsidRPr="00C907C9">
        <w:t xml:space="preserve"> </w:t>
      </w:r>
      <w:r w:rsidR="00813EAF">
        <w:t>π</w:t>
      </w:r>
      <w:r w:rsidR="005B3005">
        <w:t>αράγοντες</w:t>
      </w:r>
      <w:r w:rsidR="00B760D8" w:rsidRPr="00C907C9">
        <w:t xml:space="preserve"> </w:t>
      </w:r>
      <w:r w:rsidRPr="00C907C9">
        <w:t xml:space="preserve">που </w:t>
      </w:r>
      <w:r w:rsidR="00042F6F" w:rsidRPr="00C907C9">
        <w:t>ευθύνονται για</w:t>
      </w:r>
      <w:r w:rsidRPr="00C907C9">
        <w:t xml:space="preserve"> τ</w:t>
      </w:r>
      <w:r w:rsidR="003517F1" w:rsidRPr="00C907C9">
        <w:t>ις</w:t>
      </w:r>
      <w:r w:rsidRPr="00C907C9">
        <w:t xml:space="preserve"> α</w:t>
      </w:r>
      <w:r w:rsidR="003517F1" w:rsidRPr="00C907C9">
        <w:t>υξημένες</w:t>
      </w:r>
      <w:r w:rsidRPr="00C907C9">
        <w:t xml:space="preserve"> </w:t>
      </w:r>
      <w:r w:rsidR="003517F1" w:rsidRPr="00C907C9">
        <w:t>τιμές</w:t>
      </w:r>
      <w:r w:rsidRPr="00C907C9">
        <w:t xml:space="preserve">. </w:t>
      </w:r>
    </w:p>
    <w:p w14:paraId="1F12CEA6" w14:textId="77777777" w:rsidR="0075099E" w:rsidRPr="00C907C9" w:rsidRDefault="0075099E" w:rsidP="0075099E">
      <w:pPr>
        <w:spacing w:after="0" w:line="276" w:lineRule="auto"/>
      </w:pPr>
    </w:p>
    <w:p w14:paraId="0C0B16D9" w14:textId="1402924C" w:rsidR="003E6C28" w:rsidRDefault="003E6C28" w:rsidP="0075099E">
      <w:pPr>
        <w:spacing w:after="0" w:line="276" w:lineRule="auto"/>
      </w:pPr>
      <w:r w:rsidRPr="00C907C9">
        <w:t>Η παρούσα ανάλυση επιχειρεί να συνεισφέρει στον δημόσιο διάλογο</w:t>
      </w:r>
      <w:r w:rsidR="00042F6F" w:rsidRPr="00C907C9">
        <w:t xml:space="preserve"> αναλύοντας τα πραγματικά δεδομένα που συγκεντρώνει σε καθημερινή βάση το Ευρωπαϊκό Δίκτυο </w:t>
      </w:r>
      <w:r w:rsidR="00042F6F" w:rsidRPr="00C907C9">
        <w:lastRenderedPageBreak/>
        <w:t>Διαχειριστών Συστημάτων Μεταφοράς Ηλεκτρικής Ενέργειας, γνωστό ως Ε</w:t>
      </w:r>
      <w:r w:rsidR="00F208F4" w:rsidRPr="00C907C9">
        <w:t>NTSO</w:t>
      </w:r>
      <w:r w:rsidR="00042F6F" w:rsidRPr="00C907C9">
        <w:t>-</w:t>
      </w:r>
      <w:r w:rsidR="0011560A" w:rsidRPr="00C907C9">
        <w:t>Ε</w:t>
      </w:r>
      <w:r w:rsidR="00BE5CBE" w:rsidRPr="00C907C9">
        <w:rPr>
          <w:rStyle w:val="FootnoteReference"/>
        </w:rPr>
        <w:footnoteReference w:id="6"/>
      </w:r>
      <w:r w:rsidR="003517F1" w:rsidRPr="00C907C9">
        <w:t>,</w:t>
      </w:r>
      <w:r w:rsidR="00601CFC" w:rsidRPr="00C907C9">
        <w:t xml:space="preserve"> και αναδεικνύοντας τις βασικότερες παραμέτρους που επηρεάζουν τις τιμές στη χονδρεμπορική αγορά</w:t>
      </w:r>
      <w:r w:rsidR="003517F1" w:rsidRPr="00C907C9">
        <w:t xml:space="preserve"> ηλεκτρισμού</w:t>
      </w:r>
      <w:r w:rsidR="00601CFC" w:rsidRPr="00C907C9">
        <w:t>.</w:t>
      </w:r>
      <w:r w:rsidRPr="00C907C9">
        <w:t xml:space="preserve"> </w:t>
      </w:r>
    </w:p>
    <w:p w14:paraId="6753DDDD" w14:textId="77777777" w:rsidR="005403F9" w:rsidRPr="00C907C9" w:rsidRDefault="005403F9" w:rsidP="0075099E">
      <w:pPr>
        <w:spacing w:after="0" w:line="276" w:lineRule="auto"/>
      </w:pPr>
    </w:p>
    <w:p w14:paraId="1F894F8A" w14:textId="74E3B4D7" w:rsidR="003517F1" w:rsidRPr="00C907C9" w:rsidRDefault="00E5353A" w:rsidP="003229DE">
      <w:pPr>
        <w:pStyle w:val="Heading2"/>
        <w:spacing w:before="0"/>
        <w:ind w:left="0" w:firstLine="0"/>
        <w:jc w:val="left"/>
      </w:pPr>
      <w:r w:rsidRPr="00C907C9">
        <w:t xml:space="preserve">Πώς λειτουργεί η χονδρεμπορική αγορά ηλεκτρικής ενέργειας; </w:t>
      </w:r>
    </w:p>
    <w:p w14:paraId="77CC1172" w14:textId="77777777" w:rsidR="0075099E" w:rsidRPr="00C907C9" w:rsidRDefault="0075099E" w:rsidP="0075099E">
      <w:pPr>
        <w:pStyle w:val="ListParagraph"/>
        <w:spacing w:after="0" w:line="276" w:lineRule="auto"/>
        <w:ind w:left="0"/>
      </w:pPr>
    </w:p>
    <w:p w14:paraId="2A1C902A" w14:textId="1A7AE5BC" w:rsidR="002C43B2" w:rsidRPr="00C907C9" w:rsidRDefault="00E5353A" w:rsidP="0075099E">
      <w:pPr>
        <w:pStyle w:val="ListParagraph"/>
        <w:spacing w:after="0" w:line="276" w:lineRule="auto"/>
        <w:ind w:left="0"/>
      </w:pPr>
      <w:r w:rsidRPr="00C907C9">
        <w:t xml:space="preserve">Προκειμένου να </w:t>
      </w:r>
      <w:r w:rsidR="00F06A0C" w:rsidRPr="00C907C9">
        <w:t>γίνουν καλύτερα αντιληπτ</w:t>
      </w:r>
      <w:r w:rsidR="00547D50" w:rsidRPr="00C907C9">
        <w:t>ές</w:t>
      </w:r>
      <w:r w:rsidRPr="00C907C9">
        <w:t xml:space="preserve"> οι παράμετροι που επηρεάζουν τις τιμές της χονδρεμπορικής αγοράς, κρίνεται σκόπιμο να περιγραφεί συνοπτικά ο τρόπος που λειτουργεί αυτή η αγορά</w:t>
      </w:r>
      <w:r w:rsidR="00F06A0C" w:rsidRPr="00C907C9">
        <w:t>,</w:t>
      </w:r>
      <w:r w:rsidRPr="00C907C9">
        <w:t xml:space="preserve"> επίσης γνωστή ως </w:t>
      </w:r>
      <w:r w:rsidRPr="00C907C9">
        <w:rPr>
          <w:b/>
        </w:rPr>
        <w:t xml:space="preserve">Αγορά Επόμενης Ημέρας </w:t>
      </w:r>
      <w:r w:rsidR="00AC6B1C" w:rsidRPr="00C907C9">
        <w:rPr>
          <w:b/>
        </w:rPr>
        <w:t xml:space="preserve">ή προημερήσια </w:t>
      </w:r>
      <w:r w:rsidR="00715FD4" w:rsidRPr="00C907C9">
        <w:rPr>
          <w:b/>
        </w:rPr>
        <w:t xml:space="preserve">αγορά </w:t>
      </w:r>
      <w:r w:rsidRPr="00C907C9">
        <w:rPr>
          <w:b/>
        </w:rPr>
        <w:t>(Day Ahead Market, DAM)</w:t>
      </w:r>
      <w:r w:rsidRPr="00C907C9">
        <w:t>.</w:t>
      </w:r>
    </w:p>
    <w:p w14:paraId="1F6BDF9E" w14:textId="77777777" w:rsidR="001A2A99" w:rsidRPr="00C907C9" w:rsidRDefault="001A2A99" w:rsidP="0075099E">
      <w:pPr>
        <w:pStyle w:val="ListParagraph"/>
        <w:spacing w:after="0" w:line="276" w:lineRule="auto"/>
        <w:ind w:left="0"/>
      </w:pPr>
    </w:p>
    <w:p w14:paraId="0D17CCAE" w14:textId="6DB0C2B5" w:rsidR="009F0907" w:rsidRPr="00C907C9" w:rsidRDefault="00913C19" w:rsidP="0075099E">
      <w:pPr>
        <w:pStyle w:val="ListParagraph"/>
        <w:keepNext/>
        <w:spacing w:after="0" w:line="276" w:lineRule="auto"/>
        <w:ind w:left="0"/>
        <w:jc w:val="center"/>
      </w:pPr>
      <w:r w:rsidRPr="00C907C9">
        <w:rPr>
          <w:noProof/>
        </w:rPr>
        <w:drawing>
          <wp:inline distT="0" distB="0" distL="0" distR="0" wp14:anchorId="312A83DB" wp14:editId="13D80566">
            <wp:extent cx="4943475" cy="4519012"/>
            <wp:effectExtent l="0" t="0" r="0" b="0"/>
            <wp:docPr id="328752122" name="Picture 1"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52122" name="Picture 1" descr="A graph with different colored lines&#10;&#10;AI-generated content may be incorrect."/>
                    <pic:cNvPicPr/>
                  </pic:nvPicPr>
                  <pic:blipFill>
                    <a:blip r:embed="rId8"/>
                    <a:stretch>
                      <a:fillRect/>
                    </a:stretch>
                  </pic:blipFill>
                  <pic:spPr>
                    <a:xfrm>
                      <a:off x="0" y="0"/>
                      <a:ext cx="4956071" cy="4530527"/>
                    </a:xfrm>
                    <a:prstGeom prst="rect">
                      <a:avLst/>
                    </a:prstGeom>
                  </pic:spPr>
                </pic:pic>
              </a:graphicData>
            </a:graphic>
          </wp:inline>
        </w:drawing>
      </w:r>
    </w:p>
    <w:p w14:paraId="243EC34B" w14:textId="6D845CE8" w:rsidR="007D020F" w:rsidRPr="00C907C9" w:rsidRDefault="009F0907" w:rsidP="0075099E">
      <w:pPr>
        <w:pStyle w:val="Caption"/>
        <w:spacing w:after="0" w:line="276" w:lineRule="auto"/>
        <w:jc w:val="center"/>
      </w:pPr>
      <w:r w:rsidRPr="00C907C9">
        <w:rPr>
          <w:b/>
          <w:bCs/>
        </w:rPr>
        <w:t xml:space="preserve">Εικόνα </w:t>
      </w:r>
      <w:r w:rsidRPr="00C907C9">
        <w:rPr>
          <w:b/>
          <w:bCs/>
        </w:rPr>
        <w:fldChar w:fldCharType="begin"/>
      </w:r>
      <w:r w:rsidRPr="00C907C9">
        <w:rPr>
          <w:b/>
          <w:bCs/>
        </w:rPr>
        <w:instrText xml:space="preserve"> SEQ Εικόνα \* ARABIC </w:instrText>
      </w:r>
      <w:r w:rsidRPr="00C907C9">
        <w:rPr>
          <w:b/>
          <w:bCs/>
        </w:rPr>
        <w:fldChar w:fldCharType="separate"/>
      </w:r>
      <w:r w:rsidR="009328A6">
        <w:rPr>
          <w:b/>
          <w:bCs/>
          <w:noProof/>
        </w:rPr>
        <w:t>1</w:t>
      </w:r>
      <w:r w:rsidRPr="00C907C9">
        <w:rPr>
          <w:b/>
          <w:bCs/>
        </w:rPr>
        <w:fldChar w:fldCharType="end"/>
      </w:r>
      <w:r w:rsidRPr="00C907C9">
        <w:t xml:space="preserve">: </w:t>
      </w:r>
      <w:r w:rsidR="002571CF" w:rsidRPr="00C907C9">
        <w:t xml:space="preserve">Μοντέλο </w:t>
      </w:r>
      <w:r w:rsidR="00B7640F">
        <w:t>προσδιορισμού της τιμής εκκαθάρισης στην προημε</w:t>
      </w:r>
      <w:r w:rsidR="000C1F92">
        <w:t>ρησία αγορά</w:t>
      </w:r>
      <w:r w:rsidR="002571CF" w:rsidRPr="00C907C9">
        <w:t xml:space="preserve"> (marginal pricing)</w:t>
      </w:r>
    </w:p>
    <w:p w14:paraId="4FA39F6D" w14:textId="77777777" w:rsidR="0075099E" w:rsidRPr="00C907C9" w:rsidRDefault="0075099E" w:rsidP="0075099E">
      <w:pPr>
        <w:pStyle w:val="ListParagraph"/>
        <w:spacing w:after="0" w:line="276" w:lineRule="auto"/>
      </w:pPr>
    </w:p>
    <w:p w14:paraId="11326A05" w14:textId="6AC62C6F" w:rsidR="006F3D7D" w:rsidRPr="00C907C9" w:rsidRDefault="00E5353A" w:rsidP="0075099E">
      <w:pPr>
        <w:pStyle w:val="ListParagraph"/>
        <w:numPr>
          <w:ilvl w:val="0"/>
          <w:numId w:val="1"/>
        </w:numPr>
        <w:spacing w:after="80" w:line="276" w:lineRule="auto"/>
        <w:ind w:left="714" w:hanging="357"/>
        <w:contextualSpacing w:val="0"/>
      </w:pPr>
      <w:r w:rsidRPr="00C907C9">
        <w:t>Αποτελεί τη βασική</w:t>
      </w:r>
      <w:r w:rsidR="002A560E" w:rsidRPr="00C907C9">
        <w:t xml:space="preserve"> χονδρεμπορική</w:t>
      </w:r>
      <w:r w:rsidRPr="00C907C9">
        <w:t xml:space="preserve"> αγορά ηλεκτρισμού, </w:t>
      </w:r>
      <w:r w:rsidR="006F3D7D" w:rsidRPr="00C907C9">
        <w:t>όπου πωλούνται και αγοράζονται οι ποσότητες ηλεκτρικής ενέργειας που θα παρ</w:t>
      </w:r>
      <w:r w:rsidR="00594FD5" w:rsidRPr="00C907C9">
        <w:t xml:space="preserve">αχθούν και θα παραδοθούν την επόμενη ημέρα. Οι ποσότητες </w:t>
      </w:r>
      <w:r w:rsidR="00637513" w:rsidRPr="00C907C9">
        <w:t>ενέργειας</w:t>
      </w:r>
      <w:r w:rsidR="00735962" w:rsidRPr="00C907C9">
        <w:t xml:space="preserve"> χωρίζονται σε 15λεπτα χρονικά διαστήματα.</w:t>
      </w:r>
    </w:p>
    <w:p w14:paraId="4A337D47" w14:textId="52BCB3EE" w:rsidR="00A4173E" w:rsidRPr="00C907C9" w:rsidRDefault="00E5353A" w:rsidP="0075099E">
      <w:pPr>
        <w:pStyle w:val="ListParagraph"/>
        <w:numPr>
          <w:ilvl w:val="0"/>
          <w:numId w:val="1"/>
        </w:numPr>
        <w:spacing w:after="80" w:line="276" w:lineRule="auto"/>
        <w:ind w:left="714" w:hanging="357"/>
        <w:contextualSpacing w:val="0"/>
      </w:pPr>
      <w:r w:rsidRPr="00C907C9">
        <w:lastRenderedPageBreak/>
        <w:t>Στόχο έχει να εξισορροπεί σε καθημερινή βάση τη ζήτηση με την προσφορά ηλεκτρικής ενέργειας</w:t>
      </w:r>
      <w:r w:rsidR="00A4173E" w:rsidRPr="00C907C9">
        <w:t xml:space="preserve"> και λ</w:t>
      </w:r>
      <w:r w:rsidRPr="00C907C9">
        <w:t xml:space="preserve">ειτουργεί </w:t>
      </w:r>
      <w:r w:rsidR="00655A2F" w:rsidRPr="00C907C9">
        <w:t>με βάση</w:t>
      </w:r>
      <w:r w:rsidRPr="00C907C9">
        <w:t xml:space="preserve"> το μοντέλο Οριακής Τιμής Συστήματος (</w:t>
      </w:r>
      <w:r w:rsidR="00A56C6C" w:rsidRPr="00C907C9">
        <w:t xml:space="preserve">ΟΤΣ - </w:t>
      </w:r>
      <w:r w:rsidRPr="00C907C9">
        <w:t>marginal pricing)</w:t>
      </w:r>
      <w:r w:rsidR="005E3CA1" w:rsidRPr="00C907C9">
        <w:t>, που ορίζει και την Τιμή Εκκαθάρισης της Αγοράς (ΤΕΑ)</w:t>
      </w:r>
      <w:r w:rsidR="00A4173E" w:rsidRPr="00C907C9">
        <w:t>.</w:t>
      </w:r>
    </w:p>
    <w:p w14:paraId="07E7921A" w14:textId="016B7D02" w:rsidR="001C6A3B" w:rsidRPr="00C907C9" w:rsidRDefault="00256D2B" w:rsidP="0075099E">
      <w:pPr>
        <w:pStyle w:val="ListParagraph"/>
        <w:numPr>
          <w:ilvl w:val="0"/>
          <w:numId w:val="1"/>
        </w:numPr>
        <w:spacing w:after="80" w:line="276" w:lineRule="auto"/>
        <w:ind w:left="714" w:hanging="357"/>
        <w:contextualSpacing w:val="0"/>
      </w:pPr>
      <w:r w:rsidRPr="00C907C9">
        <w:t>Σύμφωνα με</w:t>
      </w:r>
      <w:r w:rsidR="005E3CA1" w:rsidRPr="00C907C9">
        <w:t xml:space="preserve"> το </w:t>
      </w:r>
      <w:r w:rsidR="00392B81" w:rsidRPr="00C907C9">
        <w:t xml:space="preserve">μοντέλο της </w:t>
      </w:r>
      <w:r w:rsidR="005E3CA1" w:rsidRPr="00C907C9">
        <w:t xml:space="preserve">ΟΤΣ, η ζήτηση </w:t>
      </w:r>
      <w:r w:rsidR="00E5353A" w:rsidRPr="00C907C9">
        <w:t>καλύπτεται αρχικά από όλες τις διαθέσιμες</w:t>
      </w:r>
      <w:r w:rsidR="005E3CA1" w:rsidRPr="00C907C9">
        <w:t xml:space="preserve"> </w:t>
      </w:r>
      <w:r w:rsidR="00E5353A" w:rsidRPr="00C907C9">
        <w:t xml:space="preserve">-τη συγκεκριμένη ημέρα και ώρα- τεχνολογίες ΑΠΕ (αιολικά, φωτοβολταϊκά, μικρά υδροηλεκτρικά, βιομάζα), </w:t>
      </w:r>
      <w:r w:rsidR="000630F0" w:rsidRPr="00C907C9">
        <w:t xml:space="preserve">οι οποίες </w:t>
      </w:r>
      <w:r w:rsidR="007B1201" w:rsidRPr="00C907C9">
        <w:t>κάνουν προσφορές μηδενικής ή πολύ χαμηλής τιμής</w:t>
      </w:r>
      <w:r w:rsidR="00961703" w:rsidRPr="00C907C9">
        <w:t xml:space="preserve"> (όσες μετέχουν απευθείας στην αγορά)</w:t>
      </w:r>
      <w:r w:rsidR="007B1201" w:rsidRPr="00C907C9">
        <w:t xml:space="preserve">, </w:t>
      </w:r>
      <w:r w:rsidR="00E5353A" w:rsidRPr="00C907C9">
        <w:t xml:space="preserve">ενώ </w:t>
      </w:r>
      <w:r w:rsidR="00F06A0C" w:rsidRPr="00C907C9">
        <w:t>το υπόλοιπο</w:t>
      </w:r>
      <w:r w:rsidR="00E5353A" w:rsidRPr="00C907C9">
        <w:t xml:space="preserve"> καλύπτεται από τις συμβατικές μονάδες ηλεκτροπαραγωγής (λιγνίτης, αέριο και μεγάλα υδροηλεκτρικά)</w:t>
      </w:r>
      <w:r w:rsidR="005E3CA1" w:rsidRPr="00C907C9">
        <w:t xml:space="preserve"> </w:t>
      </w:r>
      <w:r w:rsidR="00D56505" w:rsidRPr="00C907C9">
        <w:t>ή από εισα</w:t>
      </w:r>
      <w:r w:rsidR="00F47866" w:rsidRPr="00C907C9">
        <w:t>γωγές</w:t>
      </w:r>
      <w:r w:rsidR="00E5353A" w:rsidRPr="00C907C9">
        <w:t>.</w:t>
      </w:r>
    </w:p>
    <w:p w14:paraId="504BC2A3" w14:textId="3CE9B0B1" w:rsidR="00D26DED" w:rsidRPr="00C907C9" w:rsidRDefault="00F06A0C" w:rsidP="0075099E">
      <w:pPr>
        <w:pStyle w:val="ListParagraph"/>
        <w:numPr>
          <w:ilvl w:val="0"/>
          <w:numId w:val="1"/>
        </w:numPr>
        <w:spacing w:after="80" w:line="276" w:lineRule="auto"/>
        <w:ind w:left="714" w:hanging="357"/>
        <w:contextualSpacing w:val="0"/>
      </w:pPr>
      <w:r w:rsidRPr="00C907C9">
        <w:t>Οι</w:t>
      </w:r>
      <w:r w:rsidR="001C6A3B" w:rsidRPr="00C907C9">
        <w:t xml:space="preserve"> συμβατικές</w:t>
      </w:r>
      <w:r w:rsidRPr="00C907C9">
        <w:t xml:space="preserve"> μονάδες </w:t>
      </w:r>
      <w:r w:rsidR="00E5353A" w:rsidRPr="00C907C9">
        <w:t>κάνουν προσφορές στον διαχειριστή για την ποσότητα και το κόστος της ηλεκτρικής ενέργειας που μπορούν να προσφέρουν. Ο διαχειριστής καλύπτει το υπόλοιπο της ζήτησης, αρχίζοντας από τη φθηνότερη διαθέσιμη συμβατική μονάδα και προχωρώντας προς τις πιο ακριβές μονάδες</w:t>
      </w:r>
      <w:r w:rsidR="0009409F" w:rsidRPr="00C907C9">
        <w:t>,</w:t>
      </w:r>
      <w:r w:rsidRPr="00C907C9">
        <w:t xml:space="preserve"> συμπεριλαμβανομένων </w:t>
      </w:r>
      <w:r w:rsidR="003517F1" w:rsidRPr="00C907C9">
        <w:t xml:space="preserve">και </w:t>
      </w:r>
      <w:r w:rsidRPr="00C907C9">
        <w:t>των εισαγωγών</w:t>
      </w:r>
      <w:r w:rsidR="00E5353A" w:rsidRPr="00C907C9">
        <w:t xml:space="preserve">. </w:t>
      </w:r>
    </w:p>
    <w:p w14:paraId="73D07622" w14:textId="4C11AA40" w:rsidR="001B03A5" w:rsidRPr="00C907C9" w:rsidRDefault="00E5353A" w:rsidP="0075099E">
      <w:pPr>
        <w:pStyle w:val="ListParagraph"/>
        <w:numPr>
          <w:ilvl w:val="0"/>
          <w:numId w:val="1"/>
        </w:numPr>
        <w:spacing w:after="80" w:line="276" w:lineRule="auto"/>
        <w:ind w:left="714" w:hanging="357"/>
        <w:contextualSpacing w:val="0"/>
      </w:pPr>
      <w:r w:rsidRPr="00C907C9">
        <w:t xml:space="preserve">Η τελική τιμή </w:t>
      </w:r>
      <w:r w:rsidR="00F14265" w:rsidRPr="00C907C9">
        <w:t>εκκαθάρισης</w:t>
      </w:r>
      <w:r w:rsidRPr="00C907C9">
        <w:t xml:space="preserve"> είναι ίση με την προσφορά της ακριβότερης μονάδας που γίνεται δεκτή από τον διαχειριστή </w:t>
      </w:r>
      <w:r w:rsidR="00DA1D14" w:rsidRPr="00C907C9">
        <w:t xml:space="preserve">για την κάλυψη της ζήτησης </w:t>
      </w:r>
      <w:r w:rsidR="000244E4" w:rsidRPr="00C907C9">
        <w:t>στο συγκεκριμένο</w:t>
      </w:r>
      <w:r w:rsidRPr="00C907C9">
        <w:t xml:space="preserve"> 15λεπτο</w:t>
      </w:r>
      <w:r w:rsidR="00F06A0C" w:rsidRPr="00C907C9">
        <w:t>.</w:t>
      </w:r>
      <w:r w:rsidRPr="00C907C9">
        <w:t xml:space="preserve"> </w:t>
      </w:r>
      <w:r w:rsidR="00F06A0C" w:rsidRPr="00C907C9">
        <w:t>Μ</w:t>
      </w:r>
      <w:r w:rsidRPr="00C907C9">
        <w:t>ε αυτή</w:t>
      </w:r>
      <w:r w:rsidR="00F06A0C" w:rsidRPr="00C907C9">
        <w:t>ν</w:t>
      </w:r>
      <w:r w:rsidRPr="00C907C9">
        <w:t xml:space="preserve"> την τιμή πληρώνονται όλες οι μονάδες που έγιναν αποδεκτές από τον διαχειριστή, ανεξαρτήτως της προσφοράς που έκανε η καθεμία τους για το συγκεκριμένο χρονικό διάστημα.</w:t>
      </w:r>
    </w:p>
    <w:p w14:paraId="75603F92" w14:textId="65A0257F" w:rsidR="00E5353A" w:rsidRPr="00C907C9" w:rsidRDefault="001B03A5" w:rsidP="0075099E">
      <w:pPr>
        <w:pStyle w:val="ListParagraph"/>
        <w:numPr>
          <w:ilvl w:val="0"/>
          <w:numId w:val="1"/>
        </w:numPr>
        <w:spacing w:after="0" w:line="276" w:lineRule="auto"/>
      </w:pPr>
      <w:r w:rsidRPr="00C907C9">
        <w:t xml:space="preserve">Η </w:t>
      </w:r>
      <w:r w:rsidR="00D16911" w:rsidRPr="00C907C9">
        <w:t>προημερήσια αγορά</w:t>
      </w:r>
      <w:r w:rsidRPr="00C907C9">
        <w:t xml:space="preserve"> επηρεάζει την τιμή λιανικής μέσω των μηχανισμών διακυμάνσεων των κυμαινόμενων και ειδικών τιμολογίων που πληρώνουν οι καταναλωτές</w:t>
      </w:r>
      <w:r w:rsidR="00411FDD" w:rsidRPr="00411FDD">
        <w:t xml:space="preserve"> </w:t>
      </w:r>
      <w:r w:rsidR="00411FDD">
        <w:t>κάθε μήνα</w:t>
      </w:r>
      <w:r w:rsidRPr="00C907C9">
        <w:t xml:space="preserve">. </w:t>
      </w:r>
      <w:r w:rsidR="00E5353A" w:rsidRPr="00C907C9">
        <w:t xml:space="preserve"> </w:t>
      </w:r>
    </w:p>
    <w:p w14:paraId="0873CC90" w14:textId="77777777" w:rsidR="00E5353A" w:rsidRPr="00C907C9" w:rsidRDefault="00E5353A" w:rsidP="0075099E">
      <w:pPr>
        <w:pStyle w:val="ListParagraph"/>
        <w:spacing w:after="0" w:line="276" w:lineRule="auto"/>
        <w:ind w:left="0"/>
      </w:pPr>
    </w:p>
    <w:p w14:paraId="616B1128" w14:textId="447759E6" w:rsidR="00E5353A" w:rsidRPr="00C907C9" w:rsidRDefault="00E5353A" w:rsidP="0075099E">
      <w:pPr>
        <w:pStyle w:val="ListParagraph"/>
        <w:spacing w:after="0" w:line="276" w:lineRule="auto"/>
        <w:ind w:left="0"/>
      </w:pPr>
      <w:r w:rsidRPr="00C907C9">
        <w:t xml:space="preserve">Συνεπώς, </w:t>
      </w:r>
      <w:r w:rsidR="00AF0057" w:rsidRPr="00C907C9">
        <w:t xml:space="preserve">ουσιαστικά </w:t>
      </w:r>
      <w:r w:rsidRPr="00C907C9">
        <w:t xml:space="preserve">μόνο οι συμβατικές τεχνολογίες και οι εισαγωγές ηλεκτρικής ενέργειας είναι σε θέση να </w:t>
      </w:r>
      <w:r w:rsidR="00655A2F" w:rsidRPr="00C907C9">
        <w:t>διαμορφώ</w:t>
      </w:r>
      <w:r w:rsidR="0008545C" w:rsidRPr="00C907C9">
        <w:t>σ</w:t>
      </w:r>
      <w:r w:rsidR="00655A2F" w:rsidRPr="00C907C9">
        <w:t>ουν</w:t>
      </w:r>
      <w:r w:rsidRPr="00C907C9">
        <w:t xml:space="preserve"> την τιμή στην καθημερινή </w:t>
      </w:r>
      <w:r w:rsidR="00FF07BC" w:rsidRPr="00C907C9">
        <w:t xml:space="preserve">προημερήσια </w:t>
      </w:r>
      <w:r w:rsidRPr="00C907C9">
        <w:t xml:space="preserve">αγορά. Από την άλλη μεριά, με βάση τον σχεδιασμό της αγοράς, οι ΑΠΕ </w:t>
      </w:r>
      <w:r w:rsidR="00AF0057" w:rsidRPr="00C907C9">
        <w:t xml:space="preserve">στην πράξη </w:t>
      </w:r>
      <w:r w:rsidRPr="00C907C9">
        <w:t xml:space="preserve">μειώνουν την ποσότητα της ηλεκτρικής ενέργειας που πρέπει να καλύψουν οι συμβατικές μονάδες και οι εισαγωγές, μειώνοντας έτσι εμμέσως </w:t>
      </w:r>
      <w:r w:rsidR="00655A2F" w:rsidRPr="00C907C9">
        <w:t xml:space="preserve">και </w:t>
      </w:r>
      <w:r w:rsidRPr="00C907C9">
        <w:t>την τιμή</w:t>
      </w:r>
      <w:r w:rsidR="00655A2F" w:rsidRPr="00C907C9">
        <w:t xml:space="preserve"> στη</w:t>
      </w:r>
      <w:r w:rsidR="00F64854" w:rsidRPr="00C907C9">
        <w:t>ν προημερήσια αγορά</w:t>
      </w:r>
      <w:r w:rsidRPr="00C907C9">
        <w:t xml:space="preserve">.  </w:t>
      </w:r>
    </w:p>
    <w:p w14:paraId="31CCE943" w14:textId="77777777" w:rsidR="000C4BFF" w:rsidRPr="00C907C9" w:rsidRDefault="000C4BFF" w:rsidP="0075099E">
      <w:pPr>
        <w:pStyle w:val="ListParagraph"/>
        <w:spacing w:after="0" w:line="276" w:lineRule="auto"/>
        <w:ind w:left="0"/>
      </w:pPr>
    </w:p>
    <w:p w14:paraId="1EFD8836" w14:textId="0DE618DC" w:rsidR="00F06A0C" w:rsidRPr="00C907C9" w:rsidRDefault="00F06A0C" w:rsidP="0075099E">
      <w:pPr>
        <w:spacing w:after="0" w:line="276" w:lineRule="auto"/>
      </w:pPr>
      <w:r w:rsidRPr="00C907C9">
        <w:t xml:space="preserve">Με βάση τα παραπάνω, στη συνέχεια αναλύονται οι συσχετίσεις που έχουν με την τιμή της χονδρεμπορικής οι διάφορες τεχνολογίες </w:t>
      </w:r>
      <w:r w:rsidR="00547D50" w:rsidRPr="00C907C9">
        <w:t>ηλεκτροπαραγωγής</w:t>
      </w:r>
      <w:r w:rsidR="00F3033A" w:rsidRPr="00C907C9">
        <w:t>,</w:t>
      </w:r>
      <w:r w:rsidR="00547D50" w:rsidRPr="00C907C9">
        <w:t xml:space="preserve"> αξιοποιώντας τα δεδομένα του Ε</w:t>
      </w:r>
      <w:r w:rsidR="008C0138" w:rsidRPr="00C907C9">
        <w:t>NTSO</w:t>
      </w:r>
      <w:r w:rsidR="00547D50" w:rsidRPr="00C907C9">
        <w:t>-</w:t>
      </w:r>
      <w:r w:rsidR="00AA1303" w:rsidRPr="00C907C9">
        <w:t>E</w:t>
      </w:r>
      <w:r w:rsidR="00547D50" w:rsidRPr="00C907C9">
        <w:t>.</w:t>
      </w:r>
      <w:r w:rsidRPr="00C907C9">
        <w:t xml:space="preserve"> </w:t>
      </w:r>
    </w:p>
    <w:p w14:paraId="113B7A5A" w14:textId="77777777" w:rsidR="000C4BFF" w:rsidRPr="00C907C9" w:rsidRDefault="000C4BFF" w:rsidP="0075099E">
      <w:pPr>
        <w:spacing w:after="0" w:line="276" w:lineRule="auto"/>
      </w:pPr>
    </w:p>
    <w:p w14:paraId="14A335B5" w14:textId="4CF72DC0" w:rsidR="00601CFC" w:rsidRPr="00C907C9" w:rsidRDefault="003E6C28" w:rsidP="000C4BFF">
      <w:pPr>
        <w:pStyle w:val="Heading2"/>
        <w:ind w:left="0" w:firstLine="0"/>
      </w:pPr>
      <w:r w:rsidRPr="00C907C9">
        <w:t>Πώς επηρεάζουν οι τεχνολογίες ηλεκτροπαραγωγής τις τιμές</w:t>
      </w:r>
      <w:r w:rsidR="00ED3174" w:rsidRPr="00C907C9">
        <w:t xml:space="preserve"> </w:t>
      </w:r>
      <w:r w:rsidR="00547D50" w:rsidRPr="00C907C9">
        <w:t>στην Ελλάδα</w:t>
      </w:r>
      <w:r w:rsidRPr="00C907C9">
        <w:t>;</w:t>
      </w:r>
    </w:p>
    <w:p w14:paraId="22B1EE62" w14:textId="77777777" w:rsidR="0075099E" w:rsidRPr="00C907C9" w:rsidRDefault="0075099E" w:rsidP="008D3660">
      <w:pPr>
        <w:spacing w:after="0"/>
      </w:pPr>
    </w:p>
    <w:p w14:paraId="26F3B84F" w14:textId="7D13FAC7" w:rsidR="00CB064D" w:rsidRPr="00C907C9" w:rsidRDefault="00836B32" w:rsidP="008D3660">
      <w:pPr>
        <w:spacing w:after="0"/>
      </w:pPr>
      <w:r w:rsidRPr="00C907C9">
        <w:t xml:space="preserve">Το </w:t>
      </w:r>
      <w:r w:rsidR="00E0407D" w:rsidRPr="00C907C9">
        <w:fldChar w:fldCharType="begin"/>
      </w:r>
      <w:r w:rsidR="00E0407D" w:rsidRPr="00C907C9">
        <w:instrText xml:space="preserve"> REF _Ref213254254 \h </w:instrText>
      </w:r>
      <w:r w:rsidR="00F27BD1" w:rsidRPr="00C907C9">
        <w:instrText xml:space="preserve"> \* MERGEFORMAT </w:instrText>
      </w:r>
      <w:r w:rsidR="00E0407D" w:rsidRPr="00C907C9">
        <w:fldChar w:fldCharType="separate"/>
      </w:r>
      <w:r w:rsidR="009328A6" w:rsidRPr="00C907C9">
        <w:rPr>
          <w:b/>
          <w:bCs/>
        </w:rPr>
        <w:t xml:space="preserve">Διάγραμμα </w:t>
      </w:r>
      <w:r w:rsidR="009328A6">
        <w:rPr>
          <w:b/>
          <w:bCs/>
          <w:noProof/>
        </w:rPr>
        <w:t>1</w:t>
      </w:r>
      <w:r w:rsidR="00E0407D" w:rsidRPr="00C907C9">
        <w:fldChar w:fldCharType="end"/>
      </w:r>
      <w:r w:rsidR="00E0407D" w:rsidRPr="00C907C9">
        <w:t xml:space="preserve"> </w:t>
      </w:r>
      <w:r w:rsidR="00C27D49" w:rsidRPr="00C907C9">
        <w:t>απεικονίζει</w:t>
      </w:r>
      <w:r w:rsidRPr="00C907C9">
        <w:t xml:space="preserve"> τ</w:t>
      </w:r>
      <w:r w:rsidR="00822512" w:rsidRPr="00C907C9">
        <w:t>η</w:t>
      </w:r>
      <w:r w:rsidRPr="00C907C9">
        <w:t xml:space="preserve"> μέσ</w:t>
      </w:r>
      <w:r w:rsidR="00822512" w:rsidRPr="00C907C9">
        <w:t>η</w:t>
      </w:r>
      <w:r w:rsidRPr="00C907C9">
        <w:t xml:space="preserve"> ωριαί</w:t>
      </w:r>
      <w:r w:rsidR="00822512" w:rsidRPr="00C907C9">
        <w:t>α</w:t>
      </w:r>
      <w:r w:rsidRPr="00C907C9">
        <w:t xml:space="preserve"> </w:t>
      </w:r>
      <w:r w:rsidR="00822512" w:rsidRPr="00C907C9">
        <w:t>κατανομή</w:t>
      </w:r>
      <w:r w:rsidRPr="00C907C9">
        <w:t xml:space="preserve"> της τιμής στη</w:t>
      </w:r>
      <w:r w:rsidR="00F05151" w:rsidRPr="00C907C9">
        <w:t>ν προημερήσια αγορά (DAM)</w:t>
      </w:r>
      <w:r w:rsidR="00822512" w:rsidRPr="00C907C9">
        <w:t xml:space="preserve"> της Ελλάδας</w:t>
      </w:r>
      <w:r w:rsidRPr="00C907C9">
        <w:t xml:space="preserve"> σε συνδυασμό με τα μερίδια των τεχνολογιών </w:t>
      </w:r>
      <w:r w:rsidR="00822512" w:rsidRPr="00C907C9">
        <w:t xml:space="preserve">ηλεκτροπαραγωγής για </w:t>
      </w:r>
      <w:r w:rsidR="00901F76" w:rsidRPr="00C907C9">
        <w:t>(α)</w:t>
      </w:r>
      <w:r w:rsidR="00901F76">
        <w:t xml:space="preserve"> </w:t>
      </w:r>
      <w:r w:rsidR="00822512" w:rsidRPr="00C907C9">
        <w:t xml:space="preserve">ολόκληρο </w:t>
      </w:r>
      <w:r w:rsidR="00CA50F7" w:rsidRPr="00C907C9">
        <w:t>το</w:t>
      </w:r>
      <w:r w:rsidR="00822512" w:rsidRPr="00C907C9">
        <w:t xml:space="preserve"> 2024 </w:t>
      </w:r>
      <w:r w:rsidR="00691F7D" w:rsidRPr="00C907C9">
        <w:t xml:space="preserve"> </w:t>
      </w:r>
      <w:r w:rsidR="00822512" w:rsidRPr="00C907C9">
        <w:t xml:space="preserve">και </w:t>
      </w:r>
      <w:r w:rsidR="00901F76" w:rsidRPr="00C907C9">
        <w:t>(β)</w:t>
      </w:r>
      <w:r w:rsidR="00901F76">
        <w:t xml:space="preserve"> </w:t>
      </w:r>
      <w:r w:rsidR="00822512" w:rsidRPr="00C907C9">
        <w:t xml:space="preserve">για τους πρώτους </w:t>
      </w:r>
      <w:r w:rsidR="00F446BA" w:rsidRPr="00C907C9">
        <w:t>δέκα</w:t>
      </w:r>
      <w:r w:rsidR="00822512" w:rsidRPr="00C907C9">
        <w:t xml:space="preserve"> μήνες του 2025.</w:t>
      </w:r>
    </w:p>
    <w:p w14:paraId="4F792C4C" w14:textId="04356D2E" w:rsidR="00857E13" w:rsidRPr="00C907C9" w:rsidRDefault="00512229">
      <w:r w:rsidRPr="00C907C9">
        <w:rPr>
          <w:noProof/>
        </w:rPr>
        <w:lastRenderedPageBreak/>
        <w:drawing>
          <wp:inline distT="0" distB="0" distL="0" distR="0" wp14:anchorId="10AA35E9" wp14:editId="01723872">
            <wp:extent cx="5731425" cy="3907790"/>
            <wp:effectExtent l="0" t="0" r="3175" b="0"/>
            <wp:docPr id="765225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25866"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731425" cy="3907790"/>
                    </a:xfrm>
                    <a:prstGeom prst="rect">
                      <a:avLst/>
                    </a:prstGeom>
                  </pic:spPr>
                </pic:pic>
              </a:graphicData>
            </a:graphic>
          </wp:inline>
        </w:drawing>
      </w:r>
    </w:p>
    <w:p w14:paraId="2304E323" w14:textId="559462BE" w:rsidR="003A4924" w:rsidRPr="00C907C9" w:rsidRDefault="00DB6EFF" w:rsidP="003A4924">
      <w:pPr>
        <w:keepNext/>
      </w:pPr>
      <w:r w:rsidRPr="00C907C9">
        <w:rPr>
          <w:noProof/>
        </w:rPr>
        <w:drawing>
          <wp:inline distT="0" distB="0" distL="0" distR="0" wp14:anchorId="389CF9B7" wp14:editId="1C5DD788">
            <wp:extent cx="5731425" cy="3907790"/>
            <wp:effectExtent l="0" t="0" r="3175" b="0"/>
            <wp:docPr id="8316782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78291"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5731425" cy="3907790"/>
                    </a:xfrm>
                    <a:prstGeom prst="rect">
                      <a:avLst/>
                    </a:prstGeom>
                  </pic:spPr>
                </pic:pic>
              </a:graphicData>
            </a:graphic>
          </wp:inline>
        </w:drawing>
      </w:r>
    </w:p>
    <w:p w14:paraId="0B71E385" w14:textId="3C70D0E3" w:rsidR="00A37EA9" w:rsidRPr="00C907C9" w:rsidRDefault="003A4924" w:rsidP="003A4924">
      <w:pPr>
        <w:pStyle w:val="Caption"/>
      </w:pPr>
      <w:bookmarkStart w:id="0" w:name="_Ref213254254"/>
      <w:r w:rsidRPr="00C907C9">
        <w:rPr>
          <w:b/>
          <w:bCs/>
        </w:rPr>
        <w:t xml:space="preserve">Διάγραμμα </w:t>
      </w:r>
      <w:r w:rsidRPr="00C907C9">
        <w:rPr>
          <w:b/>
          <w:bCs/>
        </w:rPr>
        <w:fldChar w:fldCharType="begin"/>
      </w:r>
      <w:r w:rsidRPr="00C907C9">
        <w:rPr>
          <w:b/>
          <w:bCs/>
        </w:rPr>
        <w:instrText xml:space="preserve"> SEQ Διάγραμμα \* ARABIC </w:instrText>
      </w:r>
      <w:r w:rsidRPr="00C907C9">
        <w:rPr>
          <w:b/>
          <w:bCs/>
        </w:rPr>
        <w:fldChar w:fldCharType="separate"/>
      </w:r>
      <w:r w:rsidR="009328A6">
        <w:rPr>
          <w:b/>
          <w:bCs/>
          <w:noProof/>
        </w:rPr>
        <w:t>1</w:t>
      </w:r>
      <w:r w:rsidRPr="00C907C9">
        <w:rPr>
          <w:b/>
          <w:bCs/>
        </w:rPr>
        <w:fldChar w:fldCharType="end"/>
      </w:r>
      <w:bookmarkEnd w:id="0"/>
      <w:r w:rsidR="00151B66" w:rsidRPr="00C907C9">
        <w:t>:</w:t>
      </w:r>
      <w:r w:rsidR="00151B66" w:rsidRPr="00C907C9">
        <w:rPr>
          <w:sz w:val="20"/>
          <w:szCs w:val="20"/>
        </w:rPr>
        <w:t xml:space="preserve"> Μέση ωριαία κατανομή τιμών στην</w:t>
      </w:r>
      <w:r w:rsidR="00820A35" w:rsidRPr="00C907C9">
        <w:rPr>
          <w:sz w:val="20"/>
          <w:szCs w:val="20"/>
        </w:rPr>
        <w:t xml:space="preserve"> χονδρεμπορική</w:t>
      </w:r>
      <w:r w:rsidR="00151B66" w:rsidRPr="00C907C9">
        <w:rPr>
          <w:sz w:val="20"/>
          <w:szCs w:val="20"/>
        </w:rPr>
        <w:t xml:space="preserve"> αγορά (DAM) στην Ελλάδα και μέσα ημερήσια μερίδια τεχνολογιών στην ηλεκτροπαραγωγή </w:t>
      </w:r>
      <w:r w:rsidR="00C87E67" w:rsidRPr="00C907C9">
        <w:rPr>
          <w:sz w:val="20"/>
          <w:szCs w:val="20"/>
        </w:rPr>
        <w:t xml:space="preserve">(a) </w:t>
      </w:r>
      <w:r w:rsidR="00151B66" w:rsidRPr="00C907C9">
        <w:rPr>
          <w:sz w:val="20"/>
          <w:szCs w:val="20"/>
        </w:rPr>
        <w:t>το 2024 και</w:t>
      </w:r>
      <w:r w:rsidR="00C87E67" w:rsidRPr="00C907C9">
        <w:rPr>
          <w:sz w:val="20"/>
          <w:szCs w:val="20"/>
        </w:rPr>
        <w:t xml:space="preserve"> (β)</w:t>
      </w:r>
      <w:r w:rsidR="00151B66" w:rsidRPr="00C907C9">
        <w:rPr>
          <w:sz w:val="20"/>
          <w:szCs w:val="20"/>
        </w:rPr>
        <w:t xml:space="preserve"> τους πρώτους δέκα μήνες του 2025. </w:t>
      </w:r>
      <w:r w:rsidR="0069675E" w:rsidRPr="00C907C9">
        <w:t>Πηγή: ENTSO-E.</w:t>
      </w:r>
    </w:p>
    <w:p w14:paraId="064F9F8A" w14:textId="3D1C96C4" w:rsidR="00851810" w:rsidRDefault="00822512" w:rsidP="008D3660">
      <w:pPr>
        <w:spacing w:after="0"/>
      </w:pPr>
      <w:r w:rsidRPr="00C907C9">
        <w:lastRenderedPageBreak/>
        <w:t>Καταρχάς παρατηρ</w:t>
      </w:r>
      <w:r w:rsidR="00547D50" w:rsidRPr="00C907C9">
        <w:t>είται</w:t>
      </w:r>
      <w:r w:rsidRPr="00C907C9">
        <w:t xml:space="preserve"> ότι οι τιμές τις μεσημεριανές ώρες όπου σημειώνεται η μεγαλύτερη παραγωγή από ΑΠΕ είναι και οι χαμηλότερες της ημέρας. Αντίθετα, τις βραδινές ώρες όταν το μερίδιο των ΑΠΕ μειώνεται και παράλληλα αυξάνεται αυτό των ορυκτών καυσίμων -και κυρίως του ορυκτού αερίου- οι τιμές ανεβαίνουν σημαντικά. Μάλιστα η διαφορά ανάμεσα στη μέση ελάχιστη τιμή που σημειώνεται </w:t>
      </w:r>
      <w:r w:rsidR="00851810" w:rsidRPr="00C907C9">
        <w:t>καθημερινά μ</w:t>
      </w:r>
      <w:r w:rsidRPr="00C907C9">
        <w:t>εταξύ 12</w:t>
      </w:r>
      <w:r w:rsidR="00C27D49" w:rsidRPr="00C907C9">
        <w:t>.00</w:t>
      </w:r>
      <w:r w:rsidRPr="00C907C9">
        <w:t xml:space="preserve"> και 13.00 και τη </w:t>
      </w:r>
      <w:r w:rsidR="000A04C3" w:rsidRPr="00C907C9">
        <w:t xml:space="preserve">μέση </w:t>
      </w:r>
      <w:r w:rsidRPr="00C907C9">
        <w:t xml:space="preserve">μέγιστη </w:t>
      </w:r>
      <w:r w:rsidR="00851810" w:rsidRPr="00C907C9">
        <w:t xml:space="preserve">που καταγράφεται </w:t>
      </w:r>
      <w:r w:rsidRPr="00C907C9">
        <w:t xml:space="preserve">στη βραδινή αιχμή μεταξύ 20.00 και 21.00, αυξήθηκε από </w:t>
      </w:r>
      <w:r w:rsidR="00680498" w:rsidRPr="00411FDD">
        <w:t>128</w:t>
      </w:r>
      <w:r w:rsidR="00851810" w:rsidRPr="00411FDD">
        <w:t xml:space="preserve"> </w:t>
      </w:r>
      <w:r w:rsidR="00106FDB" w:rsidRPr="00411FDD">
        <w:t>€</w:t>
      </w:r>
      <w:r w:rsidR="00851810" w:rsidRPr="00411FDD">
        <w:t xml:space="preserve">/MWh το 2024 σε </w:t>
      </w:r>
      <w:r w:rsidR="00611B10" w:rsidRPr="00411FDD">
        <w:t>143.4</w:t>
      </w:r>
      <w:r w:rsidR="00851810" w:rsidRPr="00411FDD">
        <w:t xml:space="preserve"> </w:t>
      </w:r>
      <w:r w:rsidR="00106FDB" w:rsidRPr="00411FDD">
        <w:t>€</w:t>
      </w:r>
      <w:r w:rsidR="00851810" w:rsidRPr="00411FDD">
        <w:t xml:space="preserve">/MWh το 2025. Η </w:t>
      </w:r>
      <w:r w:rsidR="00DB3497" w:rsidRPr="00411FDD">
        <w:t xml:space="preserve">διεύρυνση αυτής της «ψαλίδας» μεταξύ 2024 και 2025 </w:t>
      </w:r>
      <w:r w:rsidR="00851810" w:rsidRPr="00411FDD">
        <w:t xml:space="preserve">μπορεί να συσχετιστεί με την </w:t>
      </w:r>
      <w:r w:rsidR="00DB3497" w:rsidRPr="00411FDD">
        <w:t>ταυτόχρονη</w:t>
      </w:r>
      <w:r w:rsidR="00851810" w:rsidRPr="00411FDD">
        <w:t xml:space="preserve"> αύξηση των ΑΠΕ και του ορυκτού αερίου</w:t>
      </w:r>
      <w:r w:rsidR="00D60504" w:rsidRPr="00411FDD">
        <w:t xml:space="preserve"> τον τελευταίο χρόνο</w:t>
      </w:r>
      <w:r w:rsidR="00851810" w:rsidRPr="00411FDD">
        <w:t xml:space="preserve">. Είναι χαρακτηριστικό ότι στους πρώτους </w:t>
      </w:r>
      <w:r w:rsidR="00754138" w:rsidRPr="00411FDD">
        <w:t>δέκα</w:t>
      </w:r>
      <w:r w:rsidR="00851810" w:rsidRPr="00411FDD">
        <w:t xml:space="preserve"> μήνες</w:t>
      </w:r>
      <w:r w:rsidR="00DB3497" w:rsidRPr="00411FDD">
        <w:t xml:space="preserve"> του 2025 οι ΑΠΕ αυξήθηκαν κατά </w:t>
      </w:r>
      <w:r w:rsidR="00B72B43" w:rsidRPr="00411FDD">
        <w:t>5</w:t>
      </w:r>
      <w:r w:rsidR="00DB3497" w:rsidRPr="00411FDD">
        <w:t>.5% σε σχέση με την ίδια περίοδο του 2024. Ωστόσο</w:t>
      </w:r>
      <w:r w:rsidR="00F43281" w:rsidRPr="00411FDD">
        <w:t>,</w:t>
      </w:r>
      <w:r w:rsidR="00DB3497" w:rsidRPr="00411FDD">
        <w:t xml:space="preserve"> η αύξηση του αερίου ήταν ακόμα μεγαλύτερη (+1</w:t>
      </w:r>
      <w:r w:rsidR="00B72B43" w:rsidRPr="00411FDD">
        <w:t>2.6</w:t>
      </w:r>
      <w:r w:rsidR="00DB3497" w:rsidRPr="00411FDD">
        <w:t>%)</w:t>
      </w:r>
      <w:r w:rsidR="000A04C3" w:rsidRPr="00411FDD">
        <w:t>,</w:t>
      </w:r>
      <w:r w:rsidR="00232385" w:rsidRPr="00411FDD">
        <w:t xml:space="preserve"> ενώ τμήμα</w:t>
      </w:r>
      <w:r w:rsidR="00232385" w:rsidRPr="00C907C9">
        <w:t xml:space="preserve"> αυτής της αυξημένης ηλεκτροπαραγωγής </w:t>
      </w:r>
      <w:r w:rsidR="000A04C3" w:rsidRPr="00C907C9">
        <w:t xml:space="preserve">από αέριο </w:t>
      </w:r>
      <w:r w:rsidR="00232385" w:rsidRPr="00C907C9">
        <w:t>διοχετεύτηκε στις εξαγωγές ηλεκτρικής ενέργειας</w:t>
      </w:r>
      <w:r w:rsidR="000A04C3" w:rsidRPr="00C907C9">
        <w:rPr>
          <w:rStyle w:val="FootnoteReference"/>
        </w:rPr>
        <w:footnoteReference w:id="7"/>
      </w:r>
      <w:r w:rsidR="00DB3497" w:rsidRPr="00C907C9">
        <w:t xml:space="preserve">. </w:t>
      </w:r>
      <w:r w:rsidR="00851810" w:rsidRPr="00C907C9">
        <w:t>Η μεν αύξηση των ΑΠΕ συν</w:t>
      </w:r>
      <w:r w:rsidR="00232385" w:rsidRPr="00C907C9">
        <w:t>έβαλε</w:t>
      </w:r>
      <w:r w:rsidR="00851810" w:rsidRPr="00C907C9">
        <w:t xml:space="preserve"> στη</w:t>
      </w:r>
      <w:r w:rsidR="00232385" w:rsidRPr="00C907C9">
        <w:t>ν περαιτέρω</w:t>
      </w:r>
      <w:r w:rsidR="00851810" w:rsidRPr="00C907C9">
        <w:t xml:space="preserve"> μείωση των τιμών τις μεσημεριανές ώρες</w:t>
      </w:r>
      <w:r w:rsidR="000A04C3" w:rsidRPr="00C907C9">
        <w:t>,</w:t>
      </w:r>
      <w:r w:rsidR="00DB3497" w:rsidRPr="00C907C9">
        <w:t xml:space="preserve"> ενώ αυτή του αερίου στην αύξησ</w:t>
      </w:r>
      <w:r w:rsidR="00D60504" w:rsidRPr="00C907C9">
        <w:t>ή</w:t>
      </w:r>
      <w:r w:rsidR="00DB3497" w:rsidRPr="00C907C9">
        <w:t xml:space="preserve"> </w:t>
      </w:r>
      <w:r w:rsidR="00D60504" w:rsidRPr="00C907C9">
        <w:t>τους</w:t>
      </w:r>
      <w:r w:rsidR="00DB3497" w:rsidRPr="00C907C9">
        <w:t xml:space="preserve"> </w:t>
      </w:r>
      <w:r w:rsidR="00232385" w:rsidRPr="00C907C9">
        <w:t xml:space="preserve">κατά </w:t>
      </w:r>
      <w:r w:rsidR="00DB3497" w:rsidRPr="00C907C9">
        <w:t>τις βραδινές ώρες.</w:t>
      </w:r>
    </w:p>
    <w:p w14:paraId="3D050C1A" w14:textId="4957C82A" w:rsidR="00BA7547" w:rsidRPr="00C907C9" w:rsidRDefault="00851810" w:rsidP="009F3C78">
      <w:pPr>
        <w:spacing w:before="120"/>
      </w:pPr>
      <w:r w:rsidRPr="00C907C9">
        <w:t>Η επίδραση των μεριδίων ηλεκτροπαραγωγής στη χονδρεμπορική αγορά ηλεκτρισμού</w:t>
      </w:r>
      <w:r w:rsidR="00DB3497" w:rsidRPr="00C907C9">
        <w:t xml:space="preserve"> αντικατοπτρίζεται ακόμα πιο καθαρά μέσω τ</w:t>
      </w:r>
      <w:r w:rsidR="00D60504" w:rsidRPr="00C907C9">
        <w:t>ων</w:t>
      </w:r>
      <w:r w:rsidR="00DB3497" w:rsidRPr="00C907C9">
        <w:t xml:space="preserve"> συντελεστών συσχέτισης Pearson</w:t>
      </w:r>
      <w:r w:rsidR="00D60504" w:rsidRPr="00C907C9">
        <w:rPr>
          <w:rStyle w:val="FootnoteReference"/>
        </w:rPr>
        <w:footnoteReference w:id="8"/>
      </w:r>
      <w:r w:rsidR="00DB3497" w:rsidRPr="00C907C9">
        <w:t xml:space="preserve"> </w:t>
      </w:r>
      <w:r w:rsidR="00D60504" w:rsidRPr="00C907C9">
        <w:t xml:space="preserve">μεταξύ των </w:t>
      </w:r>
      <w:r w:rsidR="007B7A45">
        <w:t>ωριαίων</w:t>
      </w:r>
      <w:r w:rsidR="00D60504" w:rsidRPr="00C907C9">
        <w:t xml:space="preserve"> τιμών και </w:t>
      </w:r>
      <w:r w:rsidR="0036267D">
        <w:t>της ωριαίας ηλεκτροπαραγωγής</w:t>
      </w:r>
      <w:r w:rsidR="00D60504" w:rsidRPr="00C907C9">
        <w:t xml:space="preserve"> κάθε τεχνολογίας</w:t>
      </w:r>
      <w:r w:rsidR="006D3C3F">
        <w:t>.</w:t>
      </w:r>
    </w:p>
    <w:p w14:paraId="68183812" w14:textId="042C0B32" w:rsidR="00A66298" w:rsidRDefault="00A66298" w:rsidP="00BA7547">
      <w:pPr>
        <w:pStyle w:val="Caption"/>
        <w:rPr>
          <w:b/>
          <w:bCs/>
          <w:lang w:val="en-US"/>
        </w:rPr>
      </w:pPr>
      <w:bookmarkStart w:id="1" w:name="_Ref213257294"/>
      <w:r>
        <w:rPr>
          <w:noProof/>
        </w:rPr>
        <w:drawing>
          <wp:inline distT="0" distB="0" distL="0" distR="0" wp14:anchorId="28B62BEC" wp14:editId="6C13B705">
            <wp:extent cx="5731510" cy="2895945"/>
            <wp:effectExtent l="0" t="0" r="2540" b="0"/>
            <wp:docPr id="1721497573" name="Picture 3" descr="A graph of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7573" name="Picture 3" descr="A graph of different colored squar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2895945"/>
                    </a:xfrm>
                    <a:prstGeom prst="rect">
                      <a:avLst/>
                    </a:prstGeom>
                  </pic:spPr>
                </pic:pic>
              </a:graphicData>
            </a:graphic>
          </wp:inline>
        </w:drawing>
      </w:r>
    </w:p>
    <w:p w14:paraId="05AE058F" w14:textId="575DCE59" w:rsidR="00BA7547" w:rsidRPr="00C907C9" w:rsidRDefault="00BA7547" w:rsidP="00BA7547">
      <w:pPr>
        <w:pStyle w:val="Caption"/>
      </w:pPr>
      <w:r w:rsidRPr="00C907C9">
        <w:rPr>
          <w:b/>
          <w:bCs/>
        </w:rPr>
        <w:t xml:space="preserve">Διάγραμμα </w:t>
      </w:r>
      <w:r w:rsidRPr="00C907C9">
        <w:rPr>
          <w:b/>
          <w:bCs/>
        </w:rPr>
        <w:fldChar w:fldCharType="begin"/>
      </w:r>
      <w:r w:rsidRPr="00C907C9">
        <w:rPr>
          <w:b/>
          <w:bCs/>
        </w:rPr>
        <w:instrText xml:space="preserve"> SEQ Διάγραμμα \* ARABIC </w:instrText>
      </w:r>
      <w:r w:rsidRPr="00C907C9">
        <w:rPr>
          <w:b/>
          <w:bCs/>
        </w:rPr>
        <w:fldChar w:fldCharType="separate"/>
      </w:r>
      <w:r w:rsidR="009328A6">
        <w:rPr>
          <w:b/>
          <w:bCs/>
          <w:noProof/>
        </w:rPr>
        <w:t>2</w:t>
      </w:r>
      <w:r w:rsidRPr="00C907C9">
        <w:rPr>
          <w:b/>
          <w:bCs/>
        </w:rPr>
        <w:fldChar w:fldCharType="end"/>
      </w:r>
      <w:bookmarkEnd w:id="1"/>
      <w:r w:rsidRPr="00C907C9">
        <w:t xml:space="preserve">: Συντελεστές συσχέτισης Pearson μεταξύ της </w:t>
      </w:r>
      <w:r w:rsidR="00187257" w:rsidRPr="00C907C9">
        <w:t>ωριαίας</w:t>
      </w:r>
      <w:r w:rsidRPr="00C907C9">
        <w:t xml:space="preserve"> τιμής στη χονδρεμπορική αγορά (DAM) και </w:t>
      </w:r>
      <w:r w:rsidR="00A17883">
        <w:t>της ωριαίας</w:t>
      </w:r>
      <w:r w:rsidRPr="00C907C9">
        <w:t xml:space="preserve"> ηλεκτροπαραγωγή</w:t>
      </w:r>
      <w:r w:rsidR="00A17883">
        <w:t>ς</w:t>
      </w:r>
      <w:r w:rsidRPr="00C907C9">
        <w:t xml:space="preserve"> της κάθε τεχνολογίας, </w:t>
      </w:r>
      <w:r w:rsidR="005417FD" w:rsidRPr="00C907C9">
        <w:t>ανά εξάμηνο</w:t>
      </w:r>
      <w:bookmarkStart w:id="2" w:name="_Ref215071562"/>
      <w:r w:rsidR="005417FD" w:rsidRPr="00C907C9">
        <w:rPr>
          <w:vertAlign w:val="superscript"/>
        </w:rPr>
        <w:footnoteReference w:id="9"/>
      </w:r>
      <w:bookmarkEnd w:id="2"/>
      <w:r w:rsidR="005417FD" w:rsidRPr="00C907C9">
        <w:t xml:space="preserve"> </w:t>
      </w:r>
      <w:r w:rsidRPr="00C907C9">
        <w:t xml:space="preserve">για την Ελλάδα.  </w:t>
      </w:r>
      <w:r w:rsidR="0069675E" w:rsidRPr="00C907C9">
        <w:t>Πηγή: ENTSO-E.</w:t>
      </w:r>
    </w:p>
    <w:p w14:paraId="010AD5C1" w14:textId="4B6835B1" w:rsidR="00C85631" w:rsidRDefault="00D60504" w:rsidP="005E1423">
      <w:pPr>
        <w:spacing w:after="0"/>
      </w:pPr>
      <w:r w:rsidRPr="006127C3">
        <w:lastRenderedPageBreak/>
        <w:t xml:space="preserve">Είναι σαφές ότι οι ΑΠΕ (αιολικά και φωτοβολταϊκά) έχουν αρνητική επίδραση στις τιμές αφού ο αντίστοιχος συντελεστής συσχέτισης κυμάνθηκε μεταξύ </w:t>
      </w:r>
      <w:r w:rsidR="00152FFE" w:rsidRPr="006127C3">
        <w:t>-0.</w:t>
      </w:r>
      <w:r w:rsidR="00D42BCF" w:rsidRPr="006127C3">
        <w:t xml:space="preserve">44 </w:t>
      </w:r>
      <w:r w:rsidRPr="006127C3">
        <w:t xml:space="preserve">το </w:t>
      </w:r>
      <w:r w:rsidR="00D42BCF" w:rsidRPr="006127C3">
        <w:t xml:space="preserve">Α’ </w:t>
      </w:r>
      <w:r w:rsidRPr="006127C3">
        <w:t xml:space="preserve">εξάμηνο του 2024 </w:t>
      </w:r>
      <w:r w:rsidR="008121C4" w:rsidRPr="006127C3">
        <w:t>και</w:t>
      </w:r>
      <w:r w:rsidRPr="006127C3">
        <w:t xml:space="preserve"> </w:t>
      </w:r>
      <w:r w:rsidR="00152FFE" w:rsidRPr="006127C3">
        <w:t>-</w:t>
      </w:r>
      <w:r w:rsidR="00D42BCF" w:rsidRPr="006127C3">
        <w:t>0.5</w:t>
      </w:r>
      <w:r w:rsidR="00822FEA" w:rsidRPr="006127C3">
        <w:t>1</w:t>
      </w:r>
      <w:r w:rsidR="006203A3" w:rsidRPr="006127C3">
        <w:t xml:space="preserve"> </w:t>
      </w:r>
      <w:r w:rsidRPr="006127C3">
        <w:t xml:space="preserve">το Α’ εξάμηνο του 2025. </w:t>
      </w:r>
      <w:r w:rsidR="00C27D49" w:rsidRPr="006127C3">
        <w:t xml:space="preserve">Αντιθέτως, </w:t>
      </w:r>
      <w:r w:rsidR="008668F1" w:rsidRPr="006127C3">
        <w:t xml:space="preserve">τα </w:t>
      </w:r>
      <w:r w:rsidR="00C27D49" w:rsidRPr="006127C3">
        <w:t>ορυκτ</w:t>
      </w:r>
      <w:r w:rsidR="00076253" w:rsidRPr="006127C3">
        <w:t>ά</w:t>
      </w:r>
      <w:r w:rsidR="00C27D49" w:rsidRPr="006127C3">
        <w:t xml:space="preserve"> </w:t>
      </w:r>
      <w:r w:rsidR="00076253" w:rsidRPr="006127C3">
        <w:t xml:space="preserve">καύσιμα </w:t>
      </w:r>
      <w:r w:rsidR="00C27D49" w:rsidRPr="006127C3">
        <w:t>(</w:t>
      </w:r>
      <w:r w:rsidR="00076253" w:rsidRPr="006127C3">
        <w:t>με μέσο μερίδιο</w:t>
      </w:r>
      <w:r w:rsidR="00973E93" w:rsidRPr="006127C3">
        <w:t xml:space="preserve"> </w:t>
      </w:r>
      <w:r w:rsidR="00F25794" w:rsidRPr="006127C3">
        <w:t xml:space="preserve">κάθε εξάμηνο </w:t>
      </w:r>
      <w:r w:rsidR="00820B04" w:rsidRPr="006127C3">
        <w:t>6</w:t>
      </w:r>
      <w:r w:rsidR="006C5277" w:rsidRPr="006127C3">
        <w:t>-7</w:t>
      </w:r>
      <w:r w:rsidR="00820B04" w:rsidRPr="006127C3">
        <w:t xml:space="preserve">% για τον </w:t>
      </w:r>
      <w:r w:rsidR="00C27D49" w:rsidRPr="006127C3">
        <w:t xml:space="preserve">λιγνίτη </w:t>
      </w:r>
      <w:r w:rsidR="006D25AC" w:rsidRPr="006127C3">
        <w:t xml:space="preserve">και </w:t>
      </w:r>
      <w:r w:rsidR="006C5277" w:rsidRPr="006127C3">
        <w:t>4</w:t>
      </w:r>
      <w:r w:rsidR="00EA5249" w:rsidRPr="006127C3">
        <w:t>1</w:t>
      </w:r>
      <w:r w:rsidR="006C5277" w:rsidRPr="006127C3">
        <w:t>-4</w:t>
      </w:r>
      <w:r w:rsidR="008C1117" w:rsidRPr="006127C3">
        <w:t>6</w:t>
      </w:r>
      <w:r w:rsidR="006D25AC" w:rsidRPr="006127C3">
        <w:t>% για το</w:t>
      </w:r>
      <w:r w:rsidR="00C27D49" w:rsidRPr="006127C3">
        <w:t xml:space="preserve"> </w:t>
      </w:r>
      <w:r w:rsidR="008121C4" w:rsidRPr="006127C3">
        <w:t>ορυκτ</w:t>
      </w:r>
      <w:r w:rsidR="006D25AC" w:rsidRPr="006127C3">
        <w:t>ό</w:t>
      </w:r>
      <w:r w:rsidR="008121C4" w:rsidRPr="006127C3">
        <w:t xml:space="preserve"> </w:t>
      </w:r>
      <w:r w:rsidR="00C27D49" w:rsidRPr="006127C3">
        <w:t>α</w:t>
      </w:r>
      <w:r w:rsidR="006D25AC" w:rsidRPr="006127C3">
        <w:t>έριο</w:t>
      </w:r>
      <w:r w:rsidR="00C27D49" w:rsidRPr="006127C3">
        <w:t xml:space="preserve">) εμφανίζουν θετικό συντελεστή συσχέτισης που κυμαίνεται από </w:t>
      </w:r>
      <w:r w:rsidR="00916682" w:rsidRPr="006127C3">
        <w:t>+0.</w:t>
      </w:r>
      <w:r w:rsidR="003113A8" w:rsidRPr="006127C3">
        <w:t xml:space="preserve">61 </w:t>
      </w:r>
      <w:r w:rsidR="00C27D49" w:rsidRPr="006127C3">
        <w:t xml:space="preserve">για το αέριο το </w:t>
      </w:r>
      <w:r w:rsidR="003113A8" w:rsidRPr="006127C3">
        <w:t xml:space="preserve">Β’ </w:t>
      </w:r>
      <w:r w:rsidR="00C27D49" w:rsidRPr="006127C3">
        <w:t xml:space="preserve">εξάμηνο του 2024 έως </w:t>
      </w:r>
      <w:r w:rsidR="00916682" w:rsidRPr="006127C3">
        <w:t>+0.</w:t>
      </w:r>
      <w:r w:rsidR="003113A8" w:rsidRPr="006127C3">
        <w:t>7</w:t>
      </w:r>
      <w:r w:rsidR="00C54ECF" w:rsidRPr="006127C3">
        <w:t>6</w:t>
      </w:r>
      <w:r w:rsidR="003113A8" w:rsidRPr="006127C3">
        <w:t xml:space="preserve"> </w:t>
      </w:r>
      <w:r w:rsidR="00C27D49" w:rsidRPr="006127C3">
        <w:t xml:space="preserve">για το αέριο και πάλι το Α’ εξάμηνο του 2025. </w:t>
      </w:r>
      <w:r w:rsidR="00C85631" w:rsidRPr="006127C3">
        <w:t xml:space="preserve">Μάλιστα και τα τρία εξάμηνα που εξετάστηκαν, το αέριο είχε μεγαλύτερη </w:t>
      </w:r>
      <w:r w:rsidR="00B624E8" w:rsidRPr="006127C3">
        <w:t>επίδραση</w:t>
      </w:r>
      <w:r w:rsidR="00C85631" w:rsidRPr="006127C3">
        <w:t xml:space="preserve"> </w:t>
      </w:r>
      <w:r w:rsidR="00B624E8" w:rsidRPr="006127C3">
        <w:t>στ</w:t>
      </w:r>
      <w:r w:rsidR="00C85631" w:rsidRPr="006127C3">
        <w:t xml:space="preserve">ην αύξηση των τιμών από </w:t>
      </w:r>
      <w:r w:rsidR="00AE564F" w:rsidRPr="006127C3">
        <w:t>την αντίστοιχη</w:t>
      </w:r>
      <w:r w:rsidR="00B624E8" w:rsidRPr="006127C3">
        <w:t xml:space="preserve"> των ΑΠΕ στη μείωσή τους, όπως φανερώνει το γεγονός ότι και τα τρία εξάμηνα οι συντελεστές συσχέτισης του αερίου ήταν </w:t>
      </w:r>
      <w:r w:rsidR="003B6CB5" w:rsidRPr="006127C3">
        <w:t>σε</w:t>
      </w:r>
      <w:r w:rsidR="00B624E8" w:rsidRPr="006127C3">
        <w:t xml:space="preserve"> απόλυτ</w:t>
      </w:r>
      <w:r w:rsidR="003B6CB5" w:rsidRPr="006127C3">
        <w:t>ες</w:t>
      </w:r>
      <w:r w:rsidR="00B624E8" w:rsidRPr="006127C3">
        <w:t xml:space="preserve"> τιμ</w:t>
      </w:r>
      <w:r w:rsidR="003B6CB5" w:rsidRPr="006127C3">
        <w:t>ές</w:t>
      </w:r>
      <w:r w:rsidR="00B624E8" w:rsidRPr="006127C3">
        <w:t xml:space="preserve"> </w:t>
      </w:r>
      <w:r w:rsidR="00531E46" w:rsidRPr="006127C3">
        <w:t xml:space="preserve">υψηλότεροι από </w:t>
      </w:r>
      <w:r w:rsidR="00401266" w:rsidRPr="006127C3">
        <w:t>αυτούς των ΑΠΕ.</w:t>
      </w:r>
      <w:r w:rsidR="00401266">
        <w:t xml:space="preserve"> </w:t>
      </w:r>
    </w:p>
    <w:p w14:paraId="782928E4" w14:textId="0CA48D25" w:rsidR="00C85631" w:rsidRDefault="00C85631" w:rsidP="005E1423">
      <w:pPr>
        <w:spacing w:after="0"/>
      </w:pPr>
    </w:p>
    <w:p w14:paraId="1141477F" w14:textId="266637B3" w:rsidR="00944A9E" w:rsidRDefault="00C27D49" w:rsidP="005E1423">
      <w:pPr>
        <w:spacing w:after="0"/>
      </w:pPr>
      <w:r w:rsidRPr="001211D5">
        <w:t xml:space="preserve">Αξιοσημείωτη </w:t>
      </w:r>
      <w:r w:rsidR="008668F1" w:rsidRPr="001211D5">
        <w:t xml:space="preserve">είναι </w:t>
      </w:r>
      <w:r w:rsidRPr="001211D5">
        <w:t xml:space="preserve">η </w:t>
      </w:r>
      <w:r w:rsidR="00401266">
        <w:t xml:space="preserve">επίδραση </w:t>
      </w:r>
      <w:r w:rsidRPr="001211D5">
        <w:t xml:space="preserve"> </w:t>
      </w:r>
      <w:r w:rsidR="000C6379">
        <w:t xml:space="preserve">της λιγνιτικής παραγωγής </w:t>
      </w:r>
      <w:r w:rsidR="00401266">
        <w:t>σ</w:t>
      </w:r>
      <w:r w:rsidRPr="001211D5">
        <w:t>τις τιμέ</w:t>
      </w:r>
      <w:r w:rsidR="00401266">
        <w:t>ς</w:t>
      </w:r>
      <w:r w:rsidR="00220BF9">
        <w:t>.</w:t>
      </w:r>
      <w:r w:rsidRPr="001211D5">
        <w:t xml:space="preserve"> </w:t>
      </w:r>
      <w:r w:rsidR="00220BF9">
        <w:t>Π</w:t>
      </w:r>
      <w:r w:rsidR="00543F86" w:rsidRPr="001211D5">
        <w:t xml:space="preserve">αρά </w:t>
      </w:r>
      <w:r w:rsidR="000C6379">
        <w:t xml:space="preserve">τη μικρή </w:t>
      </w:r>
      <w:r w:rsidR="00220BF9">
        <w:t>συνεισφορά στην κάλυψη της ζήτησης,</w:t>
      </w:r>
      <w:r w:rsidR="00543F86" w:rsidRPr="001211D5">
        <w:t xml:space="preserve"> ο λιγνίτης εμφανίζει θετική συσχέτιση</w:t>
      </w:r>
      <w:r w:rsidR="00144F77" w:rsidRPr="001211D5">
        <w:t xml:space="preserve"> </w:t>
      </w:r>
      <w:r w:rsidR="00B11ECB">
        <w:t xml:space="preserve">ως </w:t>
      </w:r>
      <w:r w:rsidR="00D3206E">
        <w:t>+0.47</w:t>
      </w:r>
      <w:r w:rsidRPr="001211D5">
        <w:t xml:space="preserve">. </w:t>
      </w:r>
      <w:r w:rsidR="00864730">
        <w:t>Ειδικότερα, τ</w:t>
      </w:r>
      <w:r w:rsidR="004B25E7" w:rsidRPr="001211D5">
        <w:t>ο Β’ εξάμηνο 2024 και π</w:t>
      </w:r>
      <w:r w:rsidRPr="001211D5">
        <w:t>αρά τη</w:t>
      </w:r>
      <w:r w:rsidR="00F0313F" w:rsidRPr="001211D5">
        <w:t xml:space="preserve"> </w:t>
      </w:r>
      <w:r w:rsidRPr="001211D5">
        <w:t xml:space="preserve">χαμηλή συμμετοχή του στο </w:t>
      </w:r>
      <w:r w:rsidR="00113880" w:rsidRPr="001211D5">
        <w:t>μίγμα ηλεκτροπαραγωγής, η επανεκκίνηση των παλαιότερων λιγνιτικών μονάδων τις πρώτες μέρες του Σεπτεμβρίου 2024 συνοδεύτηκε από τ</w:t>
      </w:r>
      <w:r w:rsidR="00F0313F" w:rsidRPr="001211D5">
        <w:t>ην</w:t>
      </w:r>
      <w:r w:rsidR="00113880" w:rsidRPr="001211D5">
        <w:t xml:space="preserve"> υψηλότερ</w:t>
      </w:r>
      <w:r w:rsidR="00F0313F" w:rsidRPr="001211D5">
        <w:t>η</w:t>
      </w:r>
      <w:r w:rsidR="00113880" w:rsidRPr="001211D5">
        <w:t xml:space="preserve"> </w:t>
      </w:r>
      <w:r w:rsidR="00F0313F" w:rsidRPr="001211D5">
        <w:t xml:space="preserve">ωριαία </w:t>
      </w:r>
      <w:r w:rsidR="00113880" w:rsidRPr="001211D5">
        <w:t>τιμ</w:t>
      </w:r>
      <w:r w:rsidR="00F0313F" w:rsidRPr="001211D5">
        <w:t>ή</w:t>
      </w:r>
      <w:r w:rsidR="00113880" w:rsidRPr="001211D5">
        <w:t xml:space="preserve"> που σημειώθηκ</w:t>
      </w:r>
      <w:r w:rsidR="00F0313F" w:rsidRPr="001211D5">
        <w:t>ε</w:t>
      </w:r>
      <w:r w:rsidR="00113880" w:rsidRPr="001211D5">
        <w:t xml:space="preserve"> κατά </w:t>
      </w:r>
      <w:r w:rsidR="00113880" w:rsidRPr="006430CA">
        <w:t>τη διάρκεια του προηγούμενου έτους</w:t>
      </w:r>
      <w:r w:rsidR="00F0313F" w:rsidRPr="006430CA">
        <w:t xml:space="preserve"> και μερικές από τις υψηλότερες μέσες ημερήσιες τιμές</w:t>
      </w:r>
      <w:r w:rsidR="00113880" w:rsidRPr="006430CA">
        <w:rPr>
          <w:rStyle w:val="FootnoteReference"/>
        </w:rPr>
        <w:footnoteReference w:id="10"/>
      </w:r>
      <w:r w:rsidR="008136D4" w:rsidRPr="005331B5">
        <w:t>.</w:t>
      </w:r>
      <w:r w:rsidR="00D63F9C" w:rsidRPr="005331B5">
        <w:t xml:space="preserve"> </w:t>
      </w:r>
      <w:r w:rsidR="00D63F9C" w:rsidRPr="006430CA">
        <w:t xml:space="preserve">Παρόμοια </w:t>
      </w:r>
      <w:r w:rsidR="00C041E8">
        <w:t>ήταν</w:t>
      </w:r>
      <w:r w:rsidR="00C041E8" w:rsidRPr="006430CA">
        <w:t xml:space="preserve"> </w:t>
      </w:r>
      <w:r w:rsidR="00D63F9C" w:rsidRPr="006430CA">
        <w:t xml:space="preserve">η κατάσταση και το Α’ εξάμηνο του 2025, όπου </w:t>
      </w:r>
      <w:r w:rsidR="005F6B88" w:rsidRPr="006430CA">
        <w:t xml:space="preserve">η </w:t>
      </w:r>
      <w:r w:rsidR="004E10D6" w:rsidRPr="006430CA">
        <w:t>συμμετοχή του λιγνίτη στην ηλεκτροπαραγωγή σε επίπεδα υψηλότερα του μέσου όρου</w:t>
      </w:r>
      <w:r w:rsidR="00D41837" w:rsidRPr="006430CA">
        <w:t xml:space="preserve"> </w:t>
      </w:r>
      <w:r w:rsidR="001103F5">
        <w:t xml:space="preserve">του εξαμήνου </w:t>
      </w:r>
      <w:r w:rsidR="00D41837" w:rsidRPr="006430CA">
        <w:t>(</w:t>
      </w:r>
      <w:r w:rsidR="000336BC">
        <w:t xml:space="preserve">μεταξύ </w:t>
      </w:r>
      <w:r w:rsidR="00D41837" w:rsidRPr="006430CA">
        <w:t>15</w:t>
      </w:r>
      <w:r w:rsidR="000336BC">
        <w:t xml:space="preserve"> και </w:t>
      </w:r>
      <w:r w:rsidR="00D41837" w:rsidRPr="006430CA">
        <w:t>25%)</w:t>
      </w:r>
      <w:r w:rsidR="004E10D6" w:rsidRPr="006430CA">
        <w:t xml:space="preserve"> κατά</w:t>
      </w:r>
      <w:r w:rsidR="00D41837" w:rsidRPr="006430CA">
        <w:t xml:space="preserve"> τη διάρκεια διαδοχικών ημερών</w:t>
      </w:r>
      <w:r w:rsidR="004E10D6" w:rsidRPr="006430CA">
        <w:t xml:space="preserve"> τον Ιανουάριο και Φεβρουάριο</w:t>
      </w:r>
      <w:r w:rsidR="00714FBF" w:rsidRPr="006430CA">
        <w:t xml:space="preserve"> </w:t>
      </w:r>
      <w:r w:rsidR="004F337A" w:rsidRPr="006430CA">
        <w:t>συνέβαλε στις υψη</w:t>
      </w:r>
      <w:r w:rsidR="009171D9" w:rsidRPr="006430CA">
        <w:t>λότερες μέσες τιμές της προημερήσιας αγοράς του εξαμήνου</w:t>
      </w:r>
      <w:r w:rsidR="00405CDF" w:rsidRPr="006430CA">
        <w:t xml:space="preserve"> (135</w:t>
      </w:r>
      <w:r w:rsidR="001211D5" w:rsidRPr="006430CA">
        <w:t xml:space="preserve"> €/ΜWh</w:t>
      </w:r>
      <w:r w:rsidR="00405CDF" w:rsidRPr="006430CA">
        <w:t xml:space="preserve"> και 154</w:t>
      </w:r>
      <w:r w:rsidR="001211D5" w:rsidRPr="006430CA">
        <w:t xml:space="preserve"> €/ΜWh)</w:t>
      </w:r>
      <w:r w:rsidR="009171D9" w:rsidRPr="006430CA">
        <w:t>.</w:t>
      </w:r>
    </w:p>
    <w:p w14:paraId="42D2829F" w14:textId="77777777" w:rsidR="00C041E8" w:rsidRDefault="00C041E8" w:rsidP="005E1423">
      <w:pPr>
        <w:spacing w:after="0"/>
      </w:pPr>
    </w:p>
    <w:p w14:paraId="0A088251" w14:textId="002D98C9" w:rsidR="00D60504" w:rsidRPr="007829F4" w:rsidRDefault="00944A9E" w:rsidP="003536F7">
      <w:pPr>
        <w:spacing w:after="0"/>
      </w:pPr>
      <w:r w:rsidRPr="009357E8">
        <w:t xml:space="preserve">Τα μεγάλα υδροηλεκτρικά παρουσιάζουν </w:t>
      </w:r>
      <w:r w:rsidR="00370B9F" w:rsidRPr="009357E8">
        <w:t>θετική</w:t>
      </w:r>
      <w:r w:rsidRPr="009357E8">
        <w:t xml:space="preserve"> και ισχυρ</w:t>
      </w:r>
      <w:r w:rsidR="008124B2">
        <w:t>ή</w:t>
      </w:r>
      <w:r w:rsidRPr="009357E8">
        <w:t xml:space="preserve"> συσχέτιση </w:t>
      </w:r>
      <w:r w:rsidR="00E62280">
        <w:t>παρόμοια με</w:t>
      </w:r>
      <w:r w:rsidR="00E62280" w:rsidRPr="009357E8">
        <w:t xml:space="preserve"> </w:t>
      </w:r>
      <w:r w:rsidRPr="009357E8">
        <w:t>αυτήν του αερίου, σχεδόν σε κάθε εξάμηνο. Ωστόσο</w:t>
      </w:r>
      <w:r w:rsidR="0065403D" w:rsidRPr="009357E8">
        <w:t xml:space="preserve">, </w:t>
      </w:r>
      <w:r w:rsidR="00EC06B7" w:rsidRPr="009357E8">
        <w:t xml:space="preserve">αυτό είναι ενδεικτικό </w:t>
      </w:r>
      <w:r w:rsidR="00CA0F84" w:rsidRPr="009357E8">
        <w:t>της λειτουργίας των υδροηλεκτρικών</w:t>
      </w:r>
      <w:r w:rsidR="0026639A" w:rsidRPr="009357E8">
        <w:t xml:space="preserve"> που ακολουθεί </w:t>
      </w:r>
      <w:r w:rsidR="000336BC">
        <w:t xml:space="preserve">αντί να ορίζει </w:t>
      </w:r>
      <w:r w:rsidR="0026639A" w:rsidRPr="009357E8">
        <w:t>τις υψηλές τιμές</w:t>
      </w:r>
      <w:r w:rsidR="00220BF9">
        <w:rPr>
          <w:rStyle w:val="FootnoteReference"/>
        </w:rPr>
        <w:footnoteReference w:id="11"/>
      </w:r>
      <w:r w:rsidR="000C25DD" w:rsidRPr="009357E8">
        <w:t>,</w:t>
      </w:r>
      <w:r w:rsidR="00CA0F84" w:rsidRPr="009357E8">
        <w:t xml:space="preserve"> αφού </w:t>
      </w:r>
      <w:r w:rsidR="00C0128B" w:rsidRPr="009357E8">
        <w:t xml:space="preserve">η παραγωγή τους </w:t>
      </w:r>
      <w:r w:rsidR="00605CE3" w:rsidRPr="009357E8">
        <w:t>είναι</w:t>
      </w:r>
      <w:r w:rsidR="00C0128B" w:rsidRPr="009357E8">
        <w:t xml:space="preserve"> περιορισμένη</w:t>
      </w:r>
      <w:r w:rsidR="009914BA" w:rsidRPr="009357E8">
        <w:t xml:space="preserve"> </w:t>
      </w:r>
      <w:r w:rsidR="00C0128B" w:rsidRPr="009357E8">
        <w:t>και</w:t>
      </w:r>
      <w:r w:rsidR="009914BA" w:rsidRPr="009357E8">
        <w:t xml:space="preserve"> </w:t>
      </w:r>
      <w:r w:rsidR="00851D19" w:rsidRPr="009357E8">
        <w:t xml:space="preserve">εισάγονται στο μίγμα ηλεκτροπαραγωγής </w:t>
      </w:r>
      <w:r w:rsidR="00444D4C" w:rsidRPr="009357E8">
        <w:t xml:space="preserve">στις αιχμές της ζήτησης και κατά κύριο λόγο το βράδυ </w:t>
      </w:r>
      <w:r w:rsidR="00BB5369" w:rsidRPr="009357E8">
        <w:t>που</w:t>
      </w:r>
      <w:r w:rsidR="00F31781" w:rsidRPr="009357E8">
        <w:t xml:space="preserve"> </w:t>
      </w:r>
      <w:r w:rsidR="000742EE" w:rsidRPr="009357E8">
        <w:t>πέφτει η παραγωγή των ΑΠΕ</w:t>
      </w:r>
      <w:r w:rsidR="005B19C6" w:rsidRPr="009357E8">
        <w:t>. Έτσι</w:t>
      </w:r>
      <w:r w:rsidR="008745B0" w:rsidRPr="009357E8">
        <w:t xml:space="preserve">, το </w:t>
      </w:r>
      <w:r w:rsidR="005057BE" w:rsidRPr="009357E8">
        <w:t>Α’ εξάμηνο 2024</w:t>
      </w:r>
      <w:r w:rsidR="00627184" w:rsidRPr="009357E8">
        <w:t xml:space="preserve"> όπου το μέσο μερίδιο των υδροηλεκτρικών ήταν </w:t>
      </w:r>
      <w:r w:rsidR="005B0C59" w:rsidRPr="009357E8">
        <w:t>5.9%</w:t>
      </w:r>
      <w:r w:rsidR="00BE0D55" w:rsidRPr="009357E8">
        <w:t xml:space="preserve"> και το υψηλότερο μεταξύ των τριών εξαμήνων</w:t>
      </w:r>
      <w:r w:rsidR="005B0C59" w:rsidRPr="009357E8">
        <w:t xml:space="preserve">, εμφάνισαν θετική </w:t>
      </w:r>
      <w:r w:rsidR="005B0C59" w:rsidRPr="006127C3">
        <w:t>συσχέτιση (+0.</w:t>
      </w:r>
      <w:r w:rsidR="00CE5D9F" w:rsidRPr="006127C3">
        <w:t>6</w:t>
      </w:r>
      <w:r w:rsidR="002023CC" w:rsidRPr="006127C3">
        <w:t>4</w:t>
      </w:r>
      <w:r w:rsidR="005B0C59" w:rsidRPr="006127C3">
        <w:t>)</w:t>
      </w:r>
      <w:r w:rsidR="00957F72" w:rsidRPr="006127C3">
        <w:t>,</w:t>
      </w:r>
      <w:r w:rsidR="00957F72" w:rsidRPr="009357E8">
        <w:t xml:space="preserve"> αντικατοπτρίζοντας </w:t>
      </w:r>
      <w:r w:rsidR="003536F7" w:rsidRPr="009357E8">
        <w:t>τη</w:t>
      </w:r>
      <w:r w:rsidR="00B97CE6">
        <w:t xml:space="preserve"> μεγαλύτερη </w:t>
      </w:r>
      <w:r w:rsidR="003536F7" w:rsidRPr="009357E8">
        <w:t>ανάγκη για ευελιξία και τη</w:t>
      </w:r>
      <w:r w:rsidR="00B97CE6">
        <w:t>ν αυξημένη</w:t>
      </w:r>
      <w:r w:rsidR="006C4283">
        <w:t xml:space="preserve"> </w:t>
      </w:r>
      <w:r w:rsidR="003536F7" w:rsidRPr="009357E8">
        <w:t>χρήση τους σε ώρες υψηλών τιμών.</w:t>
      </w:r>
      <w:r w:rsidR="005331B5">
        <w:t xml:space="preserve"> </w:t>
      </w:r>
    </w:p>
    <w:p w14:paraId="2F206035" w14:textId="77777777" w:rsidR="008D3660" w:rsidRPr="00C907C9" w:rsidRDefault="008D3660" w:rsidP="005E1423">
      <w:pPr>
        <w:spacing w:after="0"/>
      </w:pPr>
    </w:p>
    <w:p w14:paraId="2C2E815D" w14:textId="69C76465" w:rsidR="008D3660" w:rsidRDefault="008121C4" w:rsidP="00913FBA">
      <w:pPr>
        <w:spacing w:after="0"/>
      </w:pPr>
      <w:r w:rsidRPr="00C907C9">
        <w:t>Η ανάλυση που προηγήθηκε δείχνει ότι η Ελλάδα τα τελευταία χρόνια προωθεί μια ενεργειακή πολιτική που είναι τουλάχιστον αντιφατική ως προς το αποτύπωμα της στη διαμόρφωση των τιμών ηλεκτρικής ενέργειας</w:t>
      </w:r>
      <w:r w:rsidR="00795672" w:rsidRPr="00C907C9">
        <w:t>.</w:t>
      </w:r>
      <w:r w:rsidR="00FE3668" w:rsidRPr="00C907C9">
        <w:t xml:space="preserve"> </w:t>
      </w:r>
      <w:r w:rsidR="00795672" w:rsidRPr="00C907C9">
        <w:t>Α</w:t>
      </w:r>
      <w:r w:rsidRPr="00C907C9">
        <w:t>πό τη μία μεριά ενισχύει την εγκατάσταση φθηνών ΑΠΕ με ευεργετική επίδραση στις τιμές</w:t>
      </w:r>
      <w:r w:rsidR="00350328" w:rsidRPr="00C907C9">
        <w:t>∙</w:t>
      </w:r>
      <w:r w:rsidRPr="00C907C9">
        <w:t xml:space="preserve"> από την άλλη </w:t>
      </w:r>
      <w:r w:rsidR="00350328" w:rsidRPr="00C907C9">
        <w:t xml:space="preserve">μεριά </w:t>
      </w:r>
      <w:r w:rsidRPr="00C907C9">
        <w:t xml:space="preserve">όμως στηρίζει ποικιλοτρόπως </w:t>
      </w:r>
      <w:r w:rsidR="00D306CE">
        <w:t xml:space="preserve">και περισσότερο </w:t>
      </w:r>
      <w:r w:rsidRPr="00C907C9">
        <w:t xml:space="preserve">την αύξηση της παραγωγής ηλεκτρικής ενέργειας από ορυκτό αέριο, το οποίο εκτός από ρυπογόνο, χαρακτηρίζεται από υψηλές και ευμετάβλητες </w:t>
      </w:r>
      <w:r w:rsidRPr="00C907C9">
        <w:lastRenderedPageBreak/>
        <w:t xml:space="preserve">τιμές, επιβαρύνοντας έτσι τα οικονομικά των νοικοκυριών και, ευρύτερα, την εθνική οικονομία. </w:t>
      </w:r>
    </w:p>
    <w:p w14:paraId="6FBE02B2" w14:textId="77777777" w:rsidR="00913FBA" w:rsidRPr="00C907C9" w:rsidRDefault="00913FBA" w:rsidP="00913FBA">
      <w:pPr>
        <w:spacing w:after="0"/>
      </w:pPr>
    </w:p>
    <w:p w14:paraId="41EA75C7" w14:textId="3B2B88A4" w:rsidR="008121C4" w:rsidRPr="00C907C9" w:rsidRDefault="00547D50" w:rsidP="00ED3174">
      <w:pPr>
        <w:pStyle w:val="Heading2"/>
      </w:pPr>
      <w:r w:rsidRPr="00C907C9">
        <w:t xml:space="preserve">Υπάρχει άλλος δρόμος; </w:t>
      </w:r>
    </w:p>
    <w:p w14:paraId="3C61C1BD" w14:textId="77777777" w:rsidR="00913FBA" w:rsidRDefault="00913FBA" w:rsidP="009E436E">
      <w:pPr>
        <w:spacing w:after="0"/>
      </w:pPr>
    </w:p>
    <w:p w14:paraId="27FA6003" w14:textId="5F957263" w:rsidR="00350328" w:rsidRDefault="00875BFD" w:rsidP="009E436E">
      <w:pPr>
        <w:spacing w:after="0"/>
      </w:pPr>
      <w:r w:rsidRPr="00C907C9">
        <w:t xml:space="preserve">Για την προσέγγιση </w:t>
      </w:r>
      <w:r w:rsidR="00D532EE">
        <w:t xml:space="preserve">αυτού </w:t>
      </w:r>
      <w:r w:rsidRPr="00C907C9">
        <w:t xml:space="preserve">του </w:t>
      </w:r>
      <w:r w:rsidR="00D532EE">
        <w:t>καίριου</w:t>
      </w:r>
      <w:r w:rsidR="00D532EE" w:rsidRPr="00C907C9">
        <w:t xml:space="preserve"> </w:t>
      </w:r>
      <w:r w:rsidR="007C50FC" w:rsidRPr="00C907C9">
        <w:t>ερωτήματος</w:t>
      </w:r>
      <w:r w:rsidR="008121C4" w:rsidRPr="00C907C9">
        <w:t xml:space="preserve">, έχει αξία να εξεταστεί το παράδειγμα </w:t>
      </w:r>
      <w:r w:rsidR="002B5BF3" w:rsidRPr="00C907C9">
        <w:t xml:space="preserve">της Πορτογαλίας, </w:t>
      </w:r>
      <w:r w:rsidR="008121C4" w:rsidRPr="00C907C9">
        <w:t>μιας χώρας που έχει αρκετές ομοιότητες με τη</w:t>
      </w:r>
      <w:r w:rsidR="000A04C3" w:rsidRPr="00C907C9">
        <w:t xml:space="preserve">ν Ελλάδα </w:t>
      </w:r>
      <w:r w:rsidR="008121C4" w:rsidRPr="00C907C9">
        <w:t>(</w:t>
      </w:r>
      <w:r w:rsidR="00F01647" w:rsidRPr="00C907C9">
        <w:t>πληθυσμός</w:t>
      </w:r>
      <w:r w:rsidR="008121C4" w:rsidRPr="00C907C9">
        <w:t>, ΑΕΠ, καιρικές συνθήκες</w:t>
      </w:r>
      <w:r w:rsidR="00350328" w:rsidRPr="00C907C9">
        <w:t xml:space="preserve">, </w:t>
      </w:r>
      <w:r w:rsidR="00E07BAB" w:rsidRPr="00C907C9">
        <w:t>κλπ.</w:t>
      </w:r>
      <w:r w:rsidR="008121C4" w:rsidRPr="00C907C9">
        <w:t>)</w:t>
      </w:r>
      <w:r w:rsidR="00E07BAB" w:rsidRPr="00C907C9">
        <w:t>,</w:t>
      </w:r>
      <w:r w:rsidR="008121C4" w:rsidRPr="00C907C9">
        <w:t xml:space="preserve"> </w:t>
      </w:r>
      <w:r w:rsidR="00D0311B" w:rsidRPr="00C907C9">
        <w:t xml:space="preserve">η οποία, ωστόσο, </w:t>
      </w:r>
      <w:r w:rsidR="008121C4" w:rsidRPr="00C907C9">
        <w:t>κατ</w:t>
      </w:r>
      <w:r w:rsidR="00413A5A" w:rsidRPr="00C907C9">
        <w:t>άφερε</w:t>
      </w:r>
      <w:r w:rsidR="00350328" w:rsidRPr="00C907C9">
        <w:t xml:space="preserve"> </w:t>
      </w:r>
      <w:r w:rsidR="0041383A" w:rsidRPr="00C907C9">
        <w:t>έως σήμερα να διατηρήσει</w:t>
      </w:r>
      <w:r w:rsidR="00350328" w:rsidRPr="00C907C9">
        <w:t xml:space="preserve"> </w:t>
      </w:r>
      <w:r w:rsidR="000A04C3" w:rsidRPr="00C907C9">
        <w:t>χαμηλότερες</w:t>
      </w:r>
      <w:r w:rsidR="00350328" w:rsidRPr="00C907C9">
        <w:t xml:space="preserve"> τιμές ηλεκτρικής ενέργειας</w:t>
      </w:r>
      <w:r w:rsidR="000A04C3" w:rsidRPr="00C907C9">
        <w:t xml:space="preserve"> </w:t>
      </w:r>
      <w:r w:rsidR="000A5DBF" w:rsidRPr="00C907C9">
        <w:t>παρά την</w:t>
      </w:r>
      <w:r w:rsidR="000A04C3" w:rsidRPr="00C907C9">
        <w:t xml:space="preserve"> παρατεταμένη ενεργειακή κρίση</w:t>
      </w:r>
      <w:r w:rsidR="00350328" w:rsidRPr="00C907C9">
        <w:t xml:space="preserve">. </w:t>
      </w:r>
    </w:p>
    <w:p w14:paraId="763CAF82" w14:textId="15EC5BB2" w:rsidR="00836B32" w:rsidRPr="007311C1" w:rsidRDefault="007311C1" w:rsidP="007311C1">
      <w:pPr>
        <w:spacing w:after="0"/>
        <w:rPr>
          <w:i/>
          <w:iCs/>
          <w:sz w:val="20"/>
          <w:szCs w:val="20"/>
        </w:rPr>
      </w:pPr>
      <w:r w:rsidRPr="007311C1">
        <w:rPr>
          <w:i/>
          <w:iCs/>
          <w:noProof/>
          <w:sz w:val="20"/>
          <w:szCs w:val="20"/>
        </w:rPr>
        <w:drawing>
          <wp:inline distT="0" distB="0" distL="0" distR="0" wp14:anchorId="3E87E162" wp14:editId="5CC74C6E">
            <wp:extent cx="6260400" cy="4268454"/>
            <wp:effectExtent l="0" t="0" r="7620" b="0"/>
            <wp:docPr id="16312836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8364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6260400" cy="4268454"/>
                    </a:xfrm>
                    <a:prstGeom prst="rect">
                      <a:avLst/>
                    </a:prstGeom>
                  </pic:spPr>
                </pic:pic>
              </a:graphicData>
            </a:graphic>
          </wp:inline>
        </w:drawing>
      </w:r>
      <w:bookmarkStart w:id="3" w:name="_Ref213257519"/>
      <w:r w:rsidR="00512546" w:rsidRPr="007311C1">
        <w:rPr>
          <w:b/>
          <w:bCs/>
          <w:i/>
          <w:iCs/>
          <w:sz w:val="20"/>
          <w:szCs w:val="20"/>
        </w:rPr>
        <w:t xml:space="preserve">Διάγραμμα </w:t>
      </w:r>
      <w:r w:rsidR="00512546" w:rsidRPr="007311C1">
        <w:rPr>
          <w:b/>
          <w:bCs/>
          <w:i/>
          <w:iCs/>
          <w:sz w:val="20"/>
          <w:szCs w:val="20"/>
        </w:rPr>
        <w:fldChar w:fldCharType="begin"/>
      </w:r>
      <w:r w:rsidR="00512546" w:rsidRPr="007311C1">
        <w:rPr>
          <w:b/>
          <w:bCs/>
          <w:i/>
          <w:iCs/>
          <w:sz w:val="20"/>
          <w:szCs w:val="20"/>
        </w:rPr>
        <w:instrText xml:space="preserve"> SEQ Διάγραμμα \* ARABIC </w:instrText>
      </w:r>
      <w:r w:rsidR="00512546" w:rsidRPr="007311C1">
        <w:rPr>
          <w:b/>
          <w:bCs/>
          <w:i/>
          <w:iCs/>
          <w:sz w:val="20"/>
          <w:szCs w:val="20"/>
        </w:rPr>
        <w:fldChar w:fldCharType="separate"/>
      </w:r>
      <w:r w:rsidR="009328A6">
        <w:rPr>
          <w:b/>
          <w:bCs/>
          <w:i/>
          <w:iCs/>
          <w:noProof/>
          <w:sz w:val="20"/>
          <w:szCs w:val="20"/>
        </w:rPr>
        <w:t>3</w:t>
      </w:r>
      <w:r w:rsidR="00512546" w:rsidRPr="007311C1">
        <w:rPr>
          <w:b/>
          <w:bCs/>
          <w:i/>
          <w:iCs/>
          <w:sz w:val="20"/>
          <w:szCs w:val="20"/>
        </w:rPr>
        <w:fldChar w:fldCharType="end"/>
      </w:r>
      <w:bookmarkEnd w:id="3"/>
      <w:r w:rsidR="00512546" w:rsidRPr="007311C1">
        <w:rPr>
          <w:b/>
          <w:bCs/>
          <w:i/>
          <w:iCs/>
          <w:sz w:val="20"/>
          <w:szCs w:val="20"/>
        </w:rPr>
        <w:t>:</w:t>
      </w:r>
      <w:r w:rsidR="00512546" w:rsidRPr="007311C1">
        <w:rPr>
          <w:i/>
          <w:iCs/>
          <w:sz w:val="20"/>
          <w:szCs w:val="20"/>
        </w:rPr>
        <w:t xml:space="preserve"> Μέση</w:t>
      </w:r>
      <w:r w:rsidR="00081CC9" w:rsidRPr="007311C1">
        <w:rPr>
          <w:i/>
          <w:iCs/>
          <w:sz w:val="20"/>
          <w:szCs w:val="20"/>
        </w:rPr>
        <w:t xml:space="preserve">, μέγιστη και ελάχιστη μηνιαία τιμή στην </w:t>
      </w:r>
      <w:r w:rsidR="00A9140B" w:rsidRPr="007311C1">
        <w:rPr>
          <w:i/>
          <w:iCs/>
          <w:sz w:val="20"/>
          <w:szCs w:val="20"/>
        </w:rPr>
        <w:t>χονδρεμπορική</w:t>
      </w:r>
      <w:r w:rsidR="00D16911" w:rsidRPr="007311C1">
        <w:rPr>
          <w:i/>
          <w:iCs/>
          <w:sz w:val="20"/>
          <w:szCs w:val="20"/>
        </w:rPr>
        <w:t xml:space="preserve"> αγορά </w:t>
      </w:r>
      <w:r w:rsidR="00A9140B" w:rsidRPr="007311C1">
        <w:rPr>
          <w:i/>
          <w:iCs/>
          <w:sz w:val="20"/>
          <w:szCs w:val="20"/>
        </w:rPr>
        <w:t xml:space="preserve">(DAM) </w:t>
      </w:r>
      <w:r w:rsidR="00081CC9" w:rsidRPr="007311C1">
        <w:rPr>
          <w:i/>
          <w:iCs/>
          <w:sz w:val="20"/>
          <w:szCs w:val="20"/>
        </w:rPr>
        <w:t xml:space="preserve">σε Ελλάδα και Πορτογαλία για την περίοδο </w:t>
      </w:r>
      <w:r w:rsidR="004435CD" w:rsidRPr="007311C1">
        <w:rPr>
          <w:i/>
          <w:iCs/>
          <w:sz w:val="20"/>
          <w:szCs w:val="20"/>
        </w:rPr>
        <w:t>Ιανουάριος 2020 – Οκτώβρ</w:t>
      </w:r>
      <w:r w:rsidR="00430692" w:rsidRPr="007311C1">
        <w:rPr>
          <w:i/>
          <w:iCs/>
          <w:sz w:val="20"/>
          <w:szCs w:val="20"/>
        </w:rPr>
        <w:t>ιο</w:t>
      </w:r>
      <w:r w:rsidR="004435CD" w:rsidRPr="007311C1">
        <w:rPr>
          <w:i/>
          <w:iCs/>
          <w:sz w:val="20"/>
          <w:szCs w:val="20"/>
        </w:rPr>
        <w:t>ς 2025</w:t>
      </w:r>
      <w:r w:rsidR="0069675E" w:rsidRPr="007311C1">
        <w:rPr>
          <w:i/>
          <w:iCs/>
          <w:sz w:val="20"/>
          <w:szCs w:val="20"/>
        </w:rPr>
        <w:t>. Πηγή: ENTSO-E.</w:t>
      </w:r>
    </w:p>
    <w:p w14:paraId="1D21FC6D" w14:textId="77777777" w:rsidR="009E436E" w:rsidRDefault="009E436E" w:rsidP="00BD19DE">
      <w:pPr>
        <w:spacing w:after="0"/>
      </w:pPr>
    </w:p>
    <w:p w14:paraId="7C2CA1E5" w14:textId="78BA64FD" w:rsidR="00836B32" w:rsidRPr="00C907C9" w:rsidRDefault="00F01647" w:rsidP="00BD19DE">
      <w:pPr>
        <w:spacing w:after="0"/>
      </w:pPr>
      <w:r w:rsidRPr="00C907C9">
        <w:t xml:space="preserve">Από το </w:t>
      </w:r>
      <w:r w:rsidR="004435CD" w:rsidRPr="00B64CF4">
        <w:rPr>
          <w:szCs w:val="22"/>
        </w:rPr>
        <w:fldChar w:fldCharType="begin"/>
      </w:r>
      <w:r w:rsidR="004435CD" w:rsidRPr="00B64CF4">
        <w:rPr>
          <w:szCs w:val="22"/>
        </w:rPr>
        <w:instrText xml:space="preserve"> REF _Ref213257519 \h </w:instrText>
      </w:r>
      <w:r w:rsidR="007146C0" w:rsidRPr="00B64CF4">
        <w:rPr>
          <w:szCs w:val="22"/>
        </w:rPr>
        <w:instrText xml:space="preserve"> \* MERGEFORMAT </w:instrText>
      </w:r>
      <w:r w:rsidR="004435CD" w:rsidRPr="00B64CF4">
        <w:rPr>
          <w:szCs w:val="22"/>
        </w:rPr>
      </w:r>
      <w:r w:rsidR="004435CD" w:rsidRPr="00B64CF4">
        <w:rPr>
          <w:szCs w:val="22"/>
        </w:rPr>
        <w:fldChar w:fldCharType="separate"/>
      </w:r>
      <w:r w:rsidR="009328A6" w:rsidRPr="009328A6">
        <w:rPr>
          <w:b/>
          <w:bCs/>
          <w:szCs w:val="22"/>
        </w:rPr>
        <w:t>Διάγραμμα</w:t>
      </w:r>
      <w:r w:rsidR="009328A6" w:rsidRPr="009328A6">
        <w:rPr>
          <w:b/>
          <w:bCs/>
          <w:i/>
          <w:iCs/>
          <w:szCs w:val="22"/>
        </w:rPr>
        <w:t xml:space="preserve"> </w:t>
      </w:r>
      <w:r w:rsidR="009328A6" w:rsidRPr="009328A6">
        <w:rPr>
          <w:b/>
          <w:bCs/>
          <w:i/>
          <w:iCs/>
          <w:noProof/>
          <w:szCs w:val="22"/>
        </w:rPr>
        <w:t>3</w:t>
      </w:r>
      <w:r w:rsidR="004435CD" w:rsidRPr="00B64CF4">
        <w:rPr>
          <w:szCs w:val="22"/>
        </w:rPr>
        <w:fldChar w:fldCharType="end"/>
      </w:r>
      <w:r w:rsidR="004435CD" w:rsidRPr="00B64CF4">
        <w:rPr>
          <w:szCs w:val="22"/>
        </w:rPr>
        <w:t xml:space="preserve"> </w:t>
      </w:r>
      <w:r w:rsidRPr="00C907C9">
        <w:t xml:space="preserve">προκύπτει ότι </w:t>
      </w:r>
      <w:r w:rsidR="000A5DBF" w:rsidRPr="00C907C9">
        <w:t>έ</w:t>
      </w:r>
      <w:r w:rsidRPr="00C907C9">
        <w:t>ως την έναρξη του πολέμου της Ρωσίας στην Ουκρανία, οι δύο χώρες πρακτικά συμβάδιζαν σε ό,τι αφορά τις τιμές ηλεκτρικής ενέργειας. Ωστόσο</w:t>
      </w:r>
      <w:r w:rsidR="000536DA" w:rsidRPr="00C907C9">
        <w:t>,</w:t>
      </w:r>
      <w:r w:rsidRPr="00C907C9">
        <w:t xml:space="preserve"> από τον Απρίλιο του 2022 </w:t>
      </w:r>
      <w:r w:rsidR="000536DA" w:rsidRPr="00C907C9">
        <w:t>έ</w:t>
      </w:r>
      <w:r w:rsidRPr="00C907C9">
        <w:t>ως σήμερα, η μέση μηνιαία τιμή της Πορτογαλίας ήταν σαφώς χαμηλότερη από την αντίστοιχη της Ελλάδας</w:t>
      </w:r>
      <w:r w:rsidR="00947ADF" w:rsidRPr="00C907C9">
        <w:t>,</w:t>
      </w:r>
      <w:r w:rsidRPr="00C907C9">
        <w:t xml:space="preserve"> με εξαίρεση μόλις δύο μήνες κατά τους οποίους </w:t>
      </w:r>
      <w:r w:rsidR="007B5226" w:rsidRPr="00C907C9">
        <w:t>η τιμή στην Ελλάδα ήταν ελαφρ</w:t>
      </w:r>
      <w:r w:rsidR="00947ADF" w:rsidRPr="00C907C9">
        <w:t>ώς</w:t>
      </w:r>
      <w:r w:rsidR="007B5226" w:rsidRPr="00C907C9">
        <w:t xml:space="preserve"> χαμηλότερη από αυτή της Πορτογαλίας (Ιούνιος και Σεπτέμβριος 2023).</w:t>
      </w:r>
      <w:r w:rsidR="006D273B" w:rsidRPr="00C907C9">
        <w:t xml:space="preserve"> Μάλιστα</w:t>
      </w:r>
      <w:r w:rsidR="00740CA6" w:rsidRPr="00C907C9">
        <w:t>,</w:t>
      </w:r>
      <w:r w:rsidR="006D273B" w:rsidRPr="00C907C9">
        <w:t xml:space="preserve"> </w:t>
      </w:r>
      <w:r w:rsidR="000A04C3" w:rsidRPr="00C907C9">
        <w:t>την περίοδο μετά τη</w:t>
      </w:r>
      <w:r w:rsidR="006D273B" w:rsidRPr="00C907C9">
        <w:t>ν</w:t>
      </w:r>
      <w:r w:rsidR="000A04C3" w:rsidRPr="00C907C9">
        <w:t xml:space="preserve"> εισβολή της Ρωσίας στην Ουκρανία, η </w:t>
      </w:r>
      <w:r w:rsidR="006D273B" w:rsidRPr="006127C3">
        <w:t>Ελλάδα</w:t>
      </w:r>
      <w:r w:rsidR="000A04C3" w:rsidRPr="006127C3">
        <w:t xml:space="preserve"> ήταν</w:t>
      </w:r>
      <w:r w:rsidR="006D273B" w:rsidRPr="006127C3">
        <w:t xml:space="preserve"> κατά μέσο όρο 36%</w:t>
      </w:r>
      <w:r w:rsidR="000A04C3" w:rsidRPr="006127C3">
        <w:t xml:space="preserve"> </w:t>
      </w:r>
      <w:r w:rsidR="006D273B" w:rsidRPr="006127C3">
        <w:t>ακριβότερη από την Πορτογαλία, ενώ τον Απρίλιο του 2024</w:t>
      </w:r>
      <w:r w:rsidR="006D273B" w:rsidRPr="00C907C9">
        <w:t xml:space="preserve"> </w:t>
      </w:r>
      <w:r w:rsidR="006D273B" w:rsidRPr="006127C3">
        <w:t>η διαφορά αυτή κορυφώθηκε στο 78%.</w:t>
      </w:r>
      <w:r w:rsidR="00927633" w:rsidRPr="006127C3">
        <w:t xml:space="preserve"> </w:t>
      </w:r>
      <w:r w:rsidR="000D1642" w:rsidRPr="006127C3">
        <w:t>Μεγάλες διαφορές παρατηρούνται και στη</w:t>
      </w:r>
      <w:r w:rsidR="000D1642" w:rsidRPr="00C907C9">
        <w:t xml:space="preserve"> διακύμανση </w:t>
      </w:r>
      <w:r w:rsidR="00DA325F" w:rsidRPr="00C907C9">
        <w:t>των τιμών</w:t>
      </w:r>
      <w:r w:rsidR="00A44C93" w:rsidRPr="00C907C9">
        <w:t>, όπου για την περίοδο από το 2023 έως</w:t>
      </w:r>
      <w:r w:rsidR="00002571" w:rsidRPr="00C907C9">
        <w:t xml:space="preserve"> σήμερ</w:t>
      </w:r>
      <w:r w:rsidR="002C127C" w:rsidRPr="00C907C9">
        <w:t>α</w:t>
      </w:r>
      <w:r w:rsidR="003F2071" w:rsidRPr="00C907C9">
        <w:t>,</w:t>
      </w:r>
      <w:r w:rsidR="002C127C" w:rsidRPr="00C907C9">
        <w:t xml:space="preserve"> </w:t>
      </w:r>
      <w:r w:rsidR="007243E1" w:rsidRPr="00C907C9">
        <w:t xml:space="preserve">η διαφορά μεταξύ </w:t>
      </w:r>
      <w:r w:rsidR="002C127C" w:rsidRPr="00C907C9">
        <w:t xml:space="preserve">μέγιστης και ελάχιστης μηνιαίας τιμής στην Ελλάδα </w:t>
      </w:r>
      <w:r w:rsidR="009C1BEC" w:rsidRPr="00C907C9">
        <w:t xml:space="preserve">ήταν </w:t>
      </w:r>
      <w:r w:rsidR="00743D3A" w:rsidRPr="00C907C9">
        <w:t xml:space="preserve">πολλαπλάσια </w:t>
      </w:r>
      <w:r w:rsidR="002C127C" w:rsidRPr="00C907C9">
        <w:t xml:space="preserve">από την αντίστοιχη </w:t>
      </w:r>
      <w:r w:rsidR="002C127C" w:rsidRPr="006127C3">
        <w:t>της Πορτογαλίας</w:t>
      </w:r>
      <w:r w:rsidR="003F2071" w:rsidRPr="006127C3">
        <w:t>. Συγκεκριμένα</w:t>
      </w:r>
      <w:r w:rsidR="00C05759" w:rsidRPr="006127C3">
        <w:t xml:space="preserve">, στην Ελλάδα </w:t>
      </w:r>
      <w:r w:rsidR="002A21A1" w:rsidRPr="006127C3">
        <w:t>οι ωριαίες τιμές</w:t>
      </w:r>
      <w:r w:rsidR="00FD50F1" w:rsidRPr="006127C3">
        <w:t xml:space="preserve"> </w:t>
      </w:r>
      <w:r w:rsidR="002A21A1" w:rsidRPr="006127C3">
        <w:t>δια</w:t>
      </w:r>
      <w:r w:rsidR="00FD50F1" w:rsidRPr="006127C3">
        <w:t>κυμάνθηκ</w:t>
      </w:r>
      <w:r w:rsidR="002A21A1" w:rsidRPr="006127C3">
        <w:t>αν</w:t>
      </w:r>
      <w:r w:rsidR="00FD50F1" w:rsidRPr="006127C3">
        <w:t xml:space="preserve"> </w:t>
      </w:r>
      <w:r w:rsidR="00E32715" w:rsidRPr="006127C3">
        <w:t xml:space="preserve">μεταξύ </w:t>
      </w:r>
      <w:r w:rsidR="00245C23" w:rsidRPr="006127C3">
        <w:t>1</w:t>
      </w:r>
      <w:r w:rsidR="00E35214" w:rsidRPr="006127C3">
        <w:t>28</w:t>
      </w:r>
      <w:r w:rsidR="00245C23" w:rsidRPr="00C907C9">
        <w:t xml:space="preserve"> </w:t>
      </w:r>
      <w:r w:rsidR="00245C23" w:rsidRPr="00C907C9">
        <w:lastRenderedPageBreak/>
        <w:t>€/ΜWh (Φεβρουάριος 2024)</w:t>
      </w:r>
      <w:r w:rsidR="00FD50F1" w:rsidRPr="00C907C9">
        <w:t xml:space="preserve"> </w:t>
      </w:r>
      <w:r w:rsidR="00E32715" w:rsidRPr="00C907C9">
        <w:t>και</w:t>
      </w:r>
      <w:r w:rsidR="00FD50F1" w:rsidRPr="00C907C9">
        <w:t xml:space="preserve"> 942 €/ΜWh (Σεπτέμβρ</w:t>
      </w:r>
      <w:r w:rsidR="00E32715" w:rsidRPr="00C907C9">
        <w:t>ιος</w:t>
      </w:r>
      <w:r w:rsidR="00FD50F1" w:rsidRPr="00C907C9">
        <w:t xml:space="preserve"> 2024</w:t>
      </w:r>
      <w:r w:rsidR="00E32715" w:rsidRPr="00C907C9">
        <w:t>)</w:t>
      </w:r>
      <w:r w:rsidR="00B41E9A" w:rsidRPr="00C907C9">
        <w:t xml:space="preserve">, ενώ στην Πορτογαλία από </w:t>
      </w:r>
      <w:r w:rsidR="001E5FA8" w:rsidRPr="00C907C9">
        <w:t>10</w:t>
      </w:r>
      <w:r w:rsidR="00D26286" w:rsidRPr="00722253">
        <w:t>5</w:t>
      </w:r>
      <w:r w:rsidR="001E5FA8" w:rsidRPr="00C907C9">
        <w:t xml:space="preserve"> €/ΜWh (Απρίλιος 2024) σε 2</w:t>
      </w:r>
      <w:r w:rsidR="00722253" w:rsidRPr="00722253">
        <w:t>36</w:t>
      </w:r>
      <w:r w:rsidR="001E5FA8" w:rsidRPr="00C907C9">
        <w:t xml:space="preserve"> €/ΜWh (Φεβρουάριος 2025)</w:t>
      </w:r>
      <w:r w:rsidR="006D273B" w:rsidRPr="00C907C9">
        <w:t>.</w:t>
      </w:r>
    </w:p>
    <w:p w14:paraId="62151724" w14:textId="77777777" w:rsidR="009E436E" w:rsidRDefault="009E436E" w:rsidP="00BD19DE">
      <w:pPr>
        <w:spacing w:after="0"/>
      </w:pPr>
    </w:p>
    <w:p w14:paraId="0F5B0E4C" w14:textId="155B13D9" w:rsidR="006D273B" w:rsidRPr="00C907C9" w:rsidRDefault="006D273B" w:rsidP="00BD19DE">
      <w:pPr>
        <w:spacing w:after="0"/>
      </w:pPr>
      <w:r w:rsidRPr="00C907C9">
        <w:t xml:space="preserve">Οι μειωμένες τιμές στην Πορτογαλία φαίνεται να </w:t>
      </w:r>
      <w:r w:rsidR="004418A3" w:rsidRPr="00C907C9">
        <w:t>συνδέονται στενά με τη</w:t>
      </w:r>
      <w:r w:rsidRPr="00C907C9">
        <w:t xml:space="preserve"> μειωμένη εξάρτηση της </w:t>
      </w:r>
      <w:r w:rsidR="004418A3" w:rsidRPr="00C907C9">
        <w:t xml:space="preserve">χώρας </w:t>
      </w:r>
      <w:r w:rsidRPr="00C907C9">
        <w:t xml:space="preserve">από το </w:t>
      </w:r>
      <w:r w:rsidR="00182D1D" w:rsidRPr="00C907C9">
        <w:t xml:space="preserve">ακριβό </w:t>
      </w:r>
      <w:r w:rsidRPr="00C907C9">
        <w:t xml:space="preserve">ορυκτό αέριο </w:t>
      </w:r>
      <w:r w:rsidR="004418A3" w:rsidRPr="00C907C9">
        <w:t xml:space="preserve">σε σύγκριση </w:t>
      </w:r>
      <w:r w:rsidRPr="00C907C9">
        <w:t xml:space="preserve">με την Ελλάδα. </w:t>
      </w:r>
    </w:p>
    <w:p w14:paraId="16E0BC59" w14:textId="7C251DBC" w:rsidR="0016689B" w:rsidRPr="00C907C9" w:rsidRDefault="008F7C8D" w:rsidP="00BD19DE">
      <w:pPr>
        <w:keepNext/>
        <w:spacing w:after="0"/>
      </w:pPr>
      <w:r>
        <w:rPr>
          <w:noProof/>
        </w:rPr>
        <w:drawing>
          <wp:inline distT="0" distB="0" distL="0" distR="0" wp14:anchorId="36F2A3BE" wp14:editId="534325C9">
            <wp:extent cx="5731425" cy="3907790"/>
            <wp:effectExtent l="0" t="0" r="3175" b="0"/>
            <wp:docPr id="1333292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9298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731425" cy="3907790"/>
                    </a:xfrm>
                    <a:prstGeom prst="rect">
                      <a:avLst/>
                    </a:prstGeom>
                  </pic:spPr>
                </pic:pic>
              </a:graphicData>
            </a:graphic>
          </wp:inline>
        </w:drawing>
      </w:r>
    </w:p>
    <w:p w14:paraId="105D9AC3" w14:textId="1E0E2CBB" w:rsidR="009E436E" w:rsidRPr="009E436E" w:rsidRDefault="0016689B" w:rsidP="007311C1">
      <w:pPr>
        <w:pStyle w:val="Caption"/>
        <w:spacing w:after="0" w:line="278" w:lineRule="auto"/>
      </w:pPr>
      <w:bookmarkStart w:id="4" w:name="_Ref213327356"/>
      <w:r w:rsidRPr="00C907C9">
        <w:rPr>
          <w:b/>
          <w:bCs/>
        </w:rPr>
        <w:t xml:space="preserve">Διάγραμμα </w:t>
      </w:r>
      <w:r w:rsidRPr="00C907C9">
        <w:rPr>
          <w:b/>
          <w:bCs/>
        </w:rPr>
        <w:fldChar w:fldCharType="begin"/>
      </w:r>
      <w:r w:rsidRPr="00C907C9">
        <w:rPr>
          <w:b/>
          <w:bCs/>
        </w:rPr>
        <w:instrText xml:space="preserve"> SEQ Διάγραμμα \* ARABIC </w:instrText>
      </w:r>
      <w:r w:rsidRPr="00C907C9">
        <w:rPr>
          <w:b/>
          <w:bCs/>
        </w:rPr>
        <w:fldChar w:fldCharType="separate"/>
      </w:r>
      <w:r w:rsidR="009328A6">
        <w:rPr>
          <w:b/>
          <w:bCs/>
          <w:noProof/>
        </w:rPr>
        <w:t>4</w:t>
      </w:r>
      <w:r w:rsidRPr="00C907C9">
        <w:rPr>
          <w:b/>
          <w:bCs/>
        </w:rPr>
        <w:fldChar w:fldCharType="end"/>
      </w:r>
      <w:r w:rsidRPr="00C907C9">
        <w:t>: Μέσο μηνιαίο μερίδιο ηλεκτροπαραγωγής από ορυκτό αέριο σε Ελλάδα και Πορτογαλία για την περίοδο Ιανουάριος 2020 – Οκτώβριος 2025</w:t>
      </w:r>
      <w:bookmarkEnd w:id="4"/>
      <w:r w:rsidR="0069675E" w:rsidRPr="00C907C9">
        <w:t>. Πηγή: ENTSO-E.</w:t>
      </w:r>
    </w:p>
    <w:p w14:paraId="6473A23A" w14:textId="77777777" w:rsidR="007311C1" w:rsidRDefault="007311C1" w:rsidP="00BD19DE">
      <w:pPr>
        <w:spacing w:after="0"/>
        <w:rPr>
          <w:szCs w:val="22"/>
        </w:rPr>
      </w:pPr>
    </w:p>
    <w:p w14:paraId="49E2598F" w14:textId="041EA93B" w:rsidR="00723618" w:rsidRDefault="00182D1D" w:rsidP="00BD19DE">
      <w:pPr>
        <w:spacing w:after="0"/>
        <w:rPr>
          <w:szCs w:val="22"/>
        </w:rPr>
      </w:pPr>
      <w:r w:rsidRPr="002044C2">
        <w:rPr>
          <w:szCs w:val="22"/>
        </w:rPr>
        <w:t>Όπως φαίνεται στο</w:t>
      </w:r>
      <w:r w:rsidR="002E73DC" w:rsidRPr="002044C2">
        <w:rPr>
          <w:szCs w:val="22"/>
        </w:rPr>
        <w:t xml:space="preserve"> </w:t>
      </w:r>
      <w:r w:rsidR="002E73DC" w:rsidRPr="002044C2">
        <w:rPr>
          <w:szCs w:val="22"/>
        </w:rPr>
        <w:fldChar w:fldCharType="begin"/>
      </w:r>
      <w:r w:rsidR="002E73DC" w:rsidRPr="002044C2">
        <w:rPr>
          <w:szCs w:val="22"/>
        </w:rPr>
        <w:instrText xml:space="preserve"> REF _Ref213327356 \h </w:instrText>
      </w:r>
      <w:r w:rsidR="00195816" w:rsidRPr="002044C2">
        <w:rPr>
          <w:szCs w:val="22"/>
        </w:rPr>
        <w:instrText xml:space="preserve"> \* MERGEFORMAT </w:instrText>
      </w:r>
      <w:r w:rsidR="002E73DC" w:rsidRPr="002044C2">
        <w:rPr>
          <w:szCs w:val="22"/>
        </w:rPr>
      </w:r>
      <w:r w:rsidR="002E73DC" w:rsidRPr="002044C2">
        <w:rPr>
          <w:szCs w:val="22"/>
        </w:rPr>
        <w:fldChar w:fldCharType="separate"/>
      </w:r>
      <w:r w:rsidR="009328A6" w:rsidRPr="00C907C9">
        <w:rPr>
          <w:b/>
          <w:bCs/>
        </w:rPr>
        <w:t xml:space="preserve">Διάγραμμα </w:t>
      </w:r>
      <w:r w:rsidR="009328A6">
        <w:rPr>
          <w:b/>
          <w:bCs/>
          <w:noProof/>
        </w:rPr>
        <w:t>4</w:t>
      </w:r>
      <w:r w:rsidR="009328A6" w:rsidRPr="00C907C9">
        <w:t>: Μέσο μηνιαίο μερίδιο ηλεκτροπαραγωγής από ορυκτό αέριο σε Ελλάδα και Πορτογαλία για την περίοδο Ιανουάριος 2020 – Οκτώβριος 2025</w:t>
      </w:r>
      <w:r w:rsidR="002E73DC" w:rsidRPr="002044C2">
        <w:rPr>
          <w:szCs w:val="22"/>
        </w:rPr>
        <w:fldChar w:fldCharType="end"/>
      </w:r>
      <w:r w:rsidR="00B367CA" w:rsidRPr="002044C2">
        <w:rPr>
          <w:szCs w:val="22"/>
        </w:rPr>
        <w:t>,</w:t>
      </w:r>
      <w:r w:rsidR="00FB7A69" w:rsidRPr="002044C2">
        <w:rPr>
          <w:szCs w:val="22"/>
        </w:rPr>
        <w:t xml:space="preserve"> </w:t>
      </w:r>
      <w:r w:rsidR="003E04DE" w:rsidRPr="002044C2">
        <w:rPr>
          <w:szCs w:val="22"/>
        </w:rPr>
        <w:t>και οι δύο χώρες είχαν υψηλά ποσο</w:t>
      </w:r>
      <w:r w:rsidR="00723618" w:rsidRPr="002044C2">
        <w:rPr>
          <w:szCs w:val="22"/>
        </w:rPr>
        <w:t>στά αερίου στην ηλεκτροπαραγωγή πριν και κατά τη διάρκεια της κρίσης</w:t>
      </w:r>
      <w:r w:rsidR="00D24E63" w:rsidRPr="002044C2">
        <w:rPr>
          <w:szCs w:val="22"/>
        </w:rPr>
        <w:t xml:space="preserve">. </w:t>
      </w:r>
      <w:r w:rsidR="007631E8" w:rsidRPr="002044C2">
        <w:rPr>
          <w:szCs w:val="22"/>
        </w:rPr>
        <w:t xml:space="preserve">Συγκεκριμένα στην Ελλάδα </w:t>
      </w:r>
      <w:r w:rsidR="00315021" w:rsidRPr="002044C2">
        <w:rPr>
          <w:szCs w:val="22"/>
        </w:rPr>
        <w:t xml:space="preserve">την περίοδο </w:t>
      </w:r>
      <w:r w:rsidR="0096566D" w:rsidRPr="002044C2">
        <w:rPr>
          <w:szCs w:val="22"/>
        </w:rPr>
        <w:t>πριν το 2023</w:t>
      </w:r>
      <w:r w:rsidR="003E2260" w:rsidRPr="002044C2">
        <w:rPr>
          <w:szCs w:val="22"/>
        </w:rPr>
        <w:t xml:space="preserve">, </w:t>
      </w:r>
      <w:r w:rsidR="0096566D" w:rsidRPr="002044C2">
        <w:rPr>
          <w:szCs w:val="22"/>
        </w:rPr>
        <w:t xml:space="preserve">το μέσο μηνιαίο μερίδιο ηλεκτροπαραγωγής από αέριο </w:t>
      </w:r>
      <w:r w:rsidR="007D626A" w:rsidRPr="002044C2">
        <w:rPr>
          <w:szCs w:val="22"/>
        </w:rPr>
        <w:t xml:space="preserve">κυμάνθηκε μεταξύ </w:t>
      </w:r>
      <w:r w:rsidR="000763FA" w:rsidRPr="002044C2">
        <w:rPr>
          <w:szCs w:val="22"/>
        </w:rPr>
        <w:t>27.7</w:t>
      </w:r>
      <w:r w:rsidR="00AA5319" w:rsidRPr="002044C2">
        <w:rPr>
          <w:szCs w:val="22"/>
        </w:rPr>
        <w:t>%</w:t>
      </w:r>
      <w:r w:rsidR="00070A9D" w:rsidRPr="002044C2">
        <w:rPr>
          <w:szCs w:val="22"/>
        </w:rPr>
        <w:t xml:space="preserve"> (Φεβρουάριος 2021)</w:t>
      </w:r>
      <w:r w:rsidR="00AA5319" w:rsidRPr="002044C2">
        <w:rPr>
          <w:szCs w:val="22"/>
        </w:rPr>
        <w:t xml:space="preserve"> και 60.</w:t>
      </w:r>
      <w:r w:rsidR="00AC3777" w:rsidRPr="002044C2">
        <w:rPr>
          <w:szCs w:val="22"/>
        </w:rPr>
        <w:t>5</w:t>
      </w:r>
      <w:r w:rsidR="00AA5319" w:rsidRPr="002044C2">
        <w:rPr>
          <w:szCs w:val="22"/>
        </w:rPr>
        <w:t>%</w:t>
      </w:r>
      <w:r w:rsidR="00070A9D" w:rsidRPr="002044C2">
        <w:rPr>
          <w:szCs w:val="22"/>
        </w:rPr>
        <w:t xml:space="preserve"> (</w:t>
      </w:r>
      <w:r w:rsidR="00767994" w:rsidRPr="002044C2">
        <w:rPr>
          <w:szCs w:val="22"/>
        </w:rPr>
        <w:t>Ιούνιος 2021)</w:t>
      </w:r>
      <w:r w:rsidR="00AA5319" w:rsidRPr="002044C2">
        <w:rPr>
          <w:szCs w:val="22"/>
        </w:rPr>
        <w:t>. Αντίστοιχα για την Πορτογαλία</w:t>
      </w:r>
      <w:r w:rsidR="00F879D2" w:rsidRPr="002044C2">
        <w:rPr>
          <w:szCs w:val="22"/>
        </w:rPr>
        <w:t xml:space="preserve"> την περίοδο</w:t>
      </w:r>
      <w:r w:rsidR="00767994" w:rsidRPr="002044C2">
        <w:rPr>
          <w:szCs w:val="22"/>
        </w:rPr>
        <w:t xml:space="preserve"> πριν το 2023</w:t>
      </w:r>
      <w:r w:rsidR="00F879D2" w:rsidRPr="002044C2">
        <w:rPr>
          <w:szCs w:val="22"/>
        </w:rPr>
        <w:t>,</w:t>
      </w:r>
      <w:r w:rsidR="00AA5319" w:rsidRPr="002044C2">
        <w:rPr>
          <w:szCs w:val="22"/>
        </w:rPr>
        <w:t xml:space="preserve"> </w:t>
      </w:r>
      <w:r w:rsidR="000F2825" w:rsidRPr="002044C2">
        <w:rPr>
          <w:szCs w:val="22"/>
        </w:rPr>
        <w:t>το μερίδιο του αερίου κυμάνθηκε από 1</w:t>
      </w:r>
      <w:r w:rsidR="007E1F42" w:rsidRPr="002044C2">
        <w:rPr>
          <w:szCs w:val="22"/>
        </w:rPr>
        <w:t>0.6</w:t>
      </w:r>
      <w:r w:rsidR="000F2825" w:rsidRPr="002044C2">
        <w:rPr>
          <w:szCs w:val="22"/>
        </w:rPr>
        <w:t>%</w:t>
      </w:r>
      <w:r w:rsidR="00767994" w:rsidRPr="002044C2">
        <w:rPr>
          <w:szCs w:val="22"/>
        </w:rPr>
        <w:t xml:space="preserve"> (Φεβρουάριος 2021)</w:t>
      </w:r>
      <w:r w:rsidR="00F879D2" w:rsidRPr="002044C2">
        <w:rPr>
          <w:szCs w:val="22"/>
        </w:rPr>
        <w:t xml:space="preserve"> </w:t>
      </w:r>
      <w:r w:rsidR="00FA521F" w:rsidRPr="002044C2">
        <w:rPr>
          <w:szCs w:val="22"/>
        </w:rPr>
        <w:t>έως</w:t>
      </w:r>
      <w:r w:rsidR="00F879D2" w:rsidRPr="002044C2">
        <w:rPr>
          <w:szCs w:val="22"/>
        </w:rPr>
        <w:t xml:space="preserve"> 5</w:t>
      </w:r>
      <w:r w:rsidR="00C24320" w:rsidRPr="002044C2">
        <w:rPr>
          <w:szCs w:val="22"/>
        </w:rPr>
        <w:t>3.</w:t>
      </w:r>
      <w:r w:rsidR="00EE414E" w:rsidRPr="002044C2">
        <w:rPr>
          <w:szCs w:val="22"/>
        </w:rPr>
        <w:t>7</w:t>
      </w:r>
      <w:r w:rsidR="00F879D2" w:rsidRPr="002044C2">
        <w:rPr>
          <w:szCs w:val="22"/>
        </w:rPr>
        <w:t>%</w:t>
      </w:r>
      <w:r w:rsidR="00EE414E" w:rsidRPr="002044C2">
        <w:rPr>
          <w:szCs w:val="22"/>
        </w:rPr>
        <w:t xml:space="preserve"> (Ιούλιος 2020)</w:t>
      </w:r>
      <w:r w:rsidR="00E65F53" w:rsidRPr="002044C2">
        <w:rPr>
          <w:szCs w:val="22"/>
        </w:rPr>
        <w:t>. Ωστόσο</w:t>
      </w:r>
      <w:r w:rsidR="0064249B" w:rsidRPr="002044C2">
        <w:rPr>
          <w:szCs w:val="22"/>
        </w:rPr>
        <w:t>,</w:t>
      </w:r>
      <w:r w:rsidR="00E65F53" w:rsidRPr="002044C2">
        <w:rPr>
          <w:szCs w:val="22"/>
        </w:rPr>
        <w:t xml:space="preserve"> </w:t>
      </w:r>
      <w:r w:rsidR="00434D85" w:rsidRPr="002044C2">
        <w:rPr>
          <w:szCs w:val="22"/>
        </w:rPr>
        <w:t xml:space="preserve">από </w:t>
      </w:r>
      <w:r w:rsidR="00CE05D8" w:rsidRPr="002044C2">
        <w:rPr>
          <w:szCs w:val="22"/>
        </w:rPr>
        <w:t xml:space="preserve">τον Οκτώβριο 2023 και μετά βλέπουμε ότι το </w:t>
      </w:r>
      <w:r w:rsidR="00CE2389" w:rsidRPr="002044C2">
        <w:rPr>
          <w:szCs w:val="22"/>
        </w:rPr>
        <w:t xml:space="preserve">μηνιαίο </w:t>
      </w:r>
      <w:r w:rsidR="00CE05D8" w:rsidRPr="002044C2">
        <w:rPr>
          <w:szCs w:val="22"/>
        </w:rPr>
        <w:t>μερίδιο του αερίου στην Πορτογαλία μειώ</w:t>
      </w:r>
      <w:r w:rsidR="00CE2389" w:rsidRPr="002044C2">
        <w:rPr>
          <w:szCs w:val="22"/>
        </w:rPr>
        <w:t>θηκε αισθητά, παραμένοντας κάτω από 25%</w:t>
      </w:r>
      <w:r w:rsidR="00DD2808" w:rsidRPr="002044C2">
        <w:rPr>
          <w:szCs w:val="22"/>
        </w:rPr>
        <w:t xml:space="preserve"> μέχρι τον Οκτώβριο 2025</w:t>
      </w:r>
      <w:r w:rsidR="0081344A" w:rsidRPr="002044C2">
        <w:rPr>
          <w:szCs w:val="22"/>
        </w:rPr>
        <w:t xml:space="preserve"> και κατά μέσο όρο 14%</w:t>
      </w:r>
      <w:r w:rsidR="00605E09" w:rsidRPr="002044C2">
        <w:rPr>
          <w:szCs w:val="22"/>
        </w:rPr>
        <w:t>. Αντιθέτως στην Ελλάδα</w:t>
      </w:r>
      <w:r w:rsidR="0097459C" w:rsidRPr="002044C2">
        <w:rPr>
          <w:szCs w:val="22"/>
        </w:rPr>
        <w:t xml:space="preserve">, </w:t>
      </w:r>
      <w:r w:rsidR="00CB1FD2" w:rsidRPr="002044C2">
        <w:rPr>
          <w:szCs w:val="22"/>
        </w:rPr>
        <w:t>από το</w:t>
      </w:r>
      <w:r w:rsidR="00B87A2A" w:rsidRPr="002044C2">
        <w:rPr>
          <w:szCs w:val="22"/>
        </w:rPr>
        <w:t xml:space="preserve">ν </w:t>
      </w:r>
      <w:r w:rsidR="00F66155" w:rsidRPr="002044C2">
        <w:rPr>
          <w:szCs w:val="22"/>
        </w:rPr>
        <w:t xml:space="preserve">Οκτώβριο </w:t>
      </w:r>
      <w:r w:rsidR="00B87A2A" w:rsidRPr="002044C2">
        <w:rPr>
          <w:szCs w:val="22"/>
        </w:rPr>
        <w:t>του</w:t>
      </w:r>
      <w:r w:rsidR="00CB1FD2" w:rsidRPr="002044C2">
        <w:rPr>
          <w:szCs w:val="22"/>
        </w:rPr>
        <w:t xml:space="preserve"> 2023 και μετά </w:t>
      </w:r>
      <w:r w:rsidR="0097459C" w:rsidRPr="002044C2">
        <w:rPr>
          <w:szCs w:val="22"/>
        </w:rPr>
        <w:t xml:space="preserve">το μερίδιο </w:t>
      </w:r>
      <w:r w:rsidR="005E5F84" w:rsidRPr="002044C2">
        <w:rPr>
          <w:szCs w:val="22"/>
        </w:rPr>
        <w:t xml:space="preserve">του αερίου </w:t>
      </w:r>
      <w:r w:rsidR="005A6930" w:rsidRPr="002044C2">
        <w:rPr>
          <w:szCs w:val="22"/>
        </w:rPr>
        <w:t xml:space="preserve">παρουσιάζει </w:t>
      </w:r>
      <w:r w:rsidR="0019639C" w:rsidRPr="002044C2">
        <w:rPr>
          <w:szCs w:val="22"/>
        </w:rPr>
        <w:t>σταθερά αυξητική τάση</w:t>
      </w:r>
      <w:r w:rsidR="00111886" w:rsidRPr="002044C2">
        <w:rPr>
          <w:szCs w:val="22"/>
        </w:rPr>
        <w:t xml:space="preserve"> και</w:t>
      </w:r>
      <w:r w:rsidR="00F66155" w:rsidRPr="002044C2">
        <w:rPr>
          <w:szCs w:val="22"/>
        </w:rPr>
        <w:t xml:space="preserve"> </w:t>
      </w:r>
      <w:r w:rsidR="00B92E69" w:rsidRPr="002044C2">
        <w:rPr>
          <w:szCs w:val="22"/>
        </w:rPr>
        <w:t xml:space="preserve">συνεισφέρει </w:t>
      </w:r>
      <w:r w:rsidR="00187923" w:rsidRPr="002044C2">
        <w:rPr>
          <w:szCs w:val="22"/>
        </w:rPr>
        <w:t xml:space="preserve">τουλάχιστον </w:t>
      </w:r>
      <w:r w:rsidR="002357EF" w:rsidRPr="002044C2">
        <w:rPr>
          <w:szCs w:val="22"/>
        </w:rPr>
        <w:t>32</w:t>
      </w:r>
      <w:r w:rsidR="00187923" w:rsidRPr="002044C2">
        <w:rPr>
          <w:szCs w:val="22"/>
        </w:rPr>
        <w:t>% (</w:t>
      </w:r>
      <w:r w:rsidR="0081344A" w:rsidRPr="002044C2">
        <w:rPr>
          <w:szCs w:val="22"/>
        </w:rPr>
        <w:t xml:space="preserve">και κατά μέσο όρο </w:t>
      </w:r>
      <w:r w:rsidR="006D1A83" w:rsidRPr="002044C2">
        <w:rPr>
          <w:szCs w:val="22"/>
        </w:rPr>
        <w:t>43.9</w:t>
      </w:r>
      <w:r w:rsidR="0081344A" w:rsidRPr="002044C2">
        <w:rPr>
          <w:szCs w:val="22"/>
        </w:rPr>
        <w:t>%</w:t>
      </w:r>
      <w:r w:rsidR="00394D24" w:rsidRPr="002044C2">
        <w:rPr>
          <w:szCs w:val="22"/>
        </w:rPr>
        <w:t>)</w:t>
      </w:r>
      <w:r w:rsidR="00187923" w:rsidRPr="002044C2">
        <w:rPr>
          <w:szCs w:val="22"/>
        </w:rPr>
        <w:t xml:space="preserve">. </w:t>
      </w:r>
      <w:r w:rsidR="00430B04" w:rsidRPr="002044C2">
        <w:rPr>
          <w:szCs w:val="22"/>
        </w:rPr>
        <w:t>Αξιοσ</w:t>
      </w:r>
      <w:r w:rsidR="000704A9" w:rsidRPr="002044C2">
        <w:rPr>
          <w:szCs w:val="22"/>
        </w:rPr>
        <w:t>ημείωτο είναι το γεγονός ότι</w:t>
      </w:r>
      <w:r w:rsidR="00AB2299" w:rsidRPr="002044C2">
        <w:rPr>
          <w:szCs w:val="22"/>
        </w:rPr>
        <w:t xml:space="preserve"> τον Ιανουάριο και </w:t>
      </w:r>
      <w:r w:rsidR="000704A9" w:rsidRPr="002044C2">
        <w:rPr>
          <w:szCs w:val="22"/>
        </w:rPr>
        <w:t xml:space="preserve">τον </w:t>
      </w:r>
      <w:r w:rsidR="00AB2299" w:rsidRPr="002044C2">
        <w:rPr>
          <w:szCs w:val="22"/>
        </w:rPr>
        <w:t>Φεβρουάριο 2025</w:t>
      </w:r>
      <w:r w:rsidR="000E3FA1" w:rsidRPr="002044C2">
        <w:rPr>
          <w:szCs w:val="22"/>
        </w:rPr>
        <w:t>,</w:t>
      </w:r>
      <w:r w:rsidR="00930646" w:rsidRPr="002044C2">
        <w:rPr>
          <w:szCs w:val="22"/>
        </w:rPr>
        <w:t xml:space="preserve"> το μέσο μηνιαίο μερίδιο </w:t>
      </w:r>
      <w:r w:rsidR="00BC5DCC" w:rsidRPr="002044C2">
        <w:rPr>
          <w:szCs w:val="22"/>
        </w:rPr>
        <w:t xml:space="preserve">του αερίου στην ηλεκτροπαραγωγή ήταν </w:t>
      </w:r>
      <w:r w:rsidR="002A09DF" w:rsidRPr="002044C2">
        <w:rPr>
          <w:szCs w:val="22"/>
        </w:rPr>
        <w:t>51</w:t>
      </w:r>
      <w:r w:rsidR="00B239B9" w:rsidRPr="002044C2">
        <w:rPr>
          <w:szCs w:val="22"/>
        </w:rPr>
        <w:t>.2</w:t>
      </w:r>
      <w:r w:rsidR="002A09DF" w:rsidRPr="002044C2">
        <w:rPr>
          <w:szCs w:val="22"/>
        </w:rPr>
        <w:t>% και 5</w:t>
      </w:r>
      <w:r w:rsidR="00B239B9" w:rsidRPr="002044C2">
        <w:rPr>
          <w:szCs w:val="22"/>
        </w:rPr>
        <w:t>5.7</w:t>
      </w:r>
      <w:r w:rsidR="002A09DF" w:rsidRPr="002044C2">
        <w:rPr>
          <w:szCs w:val="22"/>
        </w:rPr>
        <w:t>%</w:t>
      </w:r>
      <w:r w:rsidR="000704A9" w:rsidRPr="002044C2">
        <w:rPr>
          <w:szCs w:val="22"/>
        </w:rPr>
        <w:t xml:space="preserve"> αντίστοιχα</w:t>
      </w:r>
      <w:r w:rsidR="002A09DF" w:rsidRPr="002044C2">
        <w:rPr>
          <w:szCs w:val="22"/>
        </w:rPr>
        <w:t xml:space="preserve">, φτάνοντας </w:t>
      </w:r>
      <w:r w:rsidR="00692F8D" w:rsidRPr="002044C2">
        <w:rPr>
          <w:szCs w:val="22"/>
        </w:rPr>
        <w:t xml:space="preserve">τις υψηλότερες τιμές των </w:t>
      </w:r>
      <w:r w:rsidR="00C7487A" w:rsidRPr="002044C2">
        <w:rPr>
          <w:szCs w:val="22"/>
        </w:rPr>
        <w:t>τελευταίων τριών ετών.</w:t>
      </w:r>
      <w:r w:rsidR="00572A7A" w:rsidRPr="00C907C9">
        <w:rPr>
          <w:szCs w:val="22"/>
        </w:rPr>
        <w:t xml:space="preserve"> </w:t>
      </w:r>
    </w:p>
    <w:p w14:paraId="08BC82A9" w14:textId="77777777" w:rsidR="009E436E" w:rsidRPr="00C907C9" w:rsidRDefault="009E436E" w:rsidP="00BD19DE">
      <w:pPr>
        <w:spacing w:after="0"/>
        <w:rPr>
          <w:szCs w:val="22"/>
        </w:rPr>
      </w:pPr>
    </w:p>
    <w:p w14:paraId="3995026B" w14:textId="0318FE5B" w:rsidR="00973FC8" w:rsidRDefault="00FD2E72" w:rsidP="00BD19DE">
      <w:pPr>
        <w:spacing w:after="0"/>
        <w:rPr>
          <w:szCs w:val="22"/>
        </w:rPr>
      </w:pPr>
      <w:r w:rsidRPr="002044C2">
        <w:rPr>
          <w:szCs w:val="22"/>
        </w:rPr>
        <w:t>Μια δεύτερη  παράμετρος που επηρέασε τη σύγκριση τιμών υπέρ της Πορτογαλίας ήταν η επένδυση της τελευταίας στην αποθήκευση ηλεκτρικής ενέργειας, σε αντίθεση με τη χώρα μας που εξακολουθεί να παρουσιάζει μεγάλες καθυστερήσεις στην πρόοδο της αποθήκευσης</w:t>
      </w:r>
      <w:r w:rsidR="008C6C58" w:rsidRPr="002044C2">
        <w:rPr>
          <w:szCs w:val="22"/>
        </w:rPr>
        <w:t>,</w:t>
      </w:r>
      <w:r w:rsidRPr="002044C2">
        <w:rPr>
          <w:szCs w:val="22"/>
        </w:rPr>
        <w:t xml:space="preserve"> </w:t>
      </w:r>
      <w:r w:rsidRPr="002044C2">
        <w:rPr>
          <w:szCs w:val="22"/>
        </w:rPr>
        <w:lastRenderedPageBreak/>
        <w:t xml:space="preserve">τόσο σε ό,τι αφορά την αντλησιοταμίευση όσο και </w:t>
      </w:r>
      <w:r w:rsidR="000E3FA1" w:rsidRPr="002044C2">
        <w:rPr>
          <w:szCs w:val="22"/>
        </w:rPr>
        <w:t>σ</w:t>
      </w:r>
      <w:r w:rsidRPr="002044C2">
        <w:rPr>
          <w:szCs w:val="22"/>
        </w:rPr>
        <w:t xml:space="preserve">τις μπαταρίες. Πιο συγκεκριμένα, η Πορτογαλία, εν μέσω ενεργειακής κρίσης μεταξύ 2022 και 2023, ενίσχυσε τις ήδη ανεπτυγμένες υποδομές αντλησιοταμίευσης που είχε στη διάθεσή της κατά </w:t>
      </w:r>
      <w:r w:rsidR="00A73714" w:rsidRPr="002044C2">
        <w:rPr>
          <w:szCs w:val="22"/>
        </w:rPr>
        <w:t>880</w:t>
      </w:r>
      <w:r w:rsidRPr="002044C2">
        <w:rPr>
          <w:szCs w:val="22"/>
        </w:rPr>
        <w:t xml:space="preserve"> MW (από 2,827 MW σε 3,707 MW)</w:t>
      </w:r>
      <w:r w:rsidR="007D3AB4" w:rsidRPr="002044C2">
        <w:rPr>
          <w:szCs w:val="22"/>
        </w:rPr>
        <w:t>,</w:t>
      </w:r>
      <w:r w:rsidRPr="002044C2">
        <w:rPr>
          <w:szCs w:val="22"/>
        </w:rPr>
        <w:t xml:space="preserve"> ενώ ταυτόχρονα μείωσε ελαφρώς την ισχύ μονάδων αερίου (από 4</w:t>
      </w:r>
      <w:r w:rsidR="00414910" w:rsidRPr="002044C2">
        <w:rPr>
          <w:szCs w:val="22"/>
        </w:rPr>
        <w:t>.</w:t>
      </w:r>
      <w:r w:rsidRPr="002044C2">
        <w:rPr>
          <w:szCs w:val="22"/>
        </w:rPr>
        <w:t>6 GW το 2020 σε 4.</w:t>
      </w:r>
      <w:r w:rsidR="00332C87" w:rsidRPr="002044C2">
        <w:rPr>
          <w:szCs w:val="22"/>
        </w:rPr>
        <w:t>4 GW το 2025)</w:t>
      </w:r>
      <w:r w:rsidRPr="002044C2">
        <w:rPr>
          <w:szCs w:val="22"/>
        </w:rPr>
        <w:t xml:space="preserve">. </w:t>
      </w:r>
      <w:r w:rsidR="007D3AB4" w:rsidRPr="002044C2">
        <w:rPr>
          <w:szCs w:val="22"/>
        </w:rPr>
        <w:t xml:space="preserve">Αντίθετα, η Ελλάδα το ίδιο χρονικό διάστημα δεν ενίσχυσε </w:t>
      </w:r>
      <w:r w:rsidR="00CC3AFC" w:rsidRPr="002044C2">
        <w:rPr>
          <w:szCs w:val="22"/>
        </w:rPr>
        <w:t>καθόλου</w:t>
      </w:r>
      <w:r w:rsidR="007D3AB4" w:rsidRPr="002044C2">
        <w:rPr>
          <w:szCs w:val="22"/>
        </w:rPr>
        <w:t xml:space="preserve"> την αντλησιοταμίευση</w:t>
      </w:r>
      <w:r w:rsidR="008D42CB" w:rsidRPr="002044C2">
        <w:rPr>
          <w:szCs w:val="22"/>
        </w:rPr>
        <w:t>,</w:t>
      </w:r>
      <w:r w:rsidR="007D3AB4" w:rsidRPr="002044C2">
        <w:rPr>
          <w:szCs w:val="22"/>
        </w:rPr>
        <w:t xml:space="preserve"> η οποία παρέμεινε καθηλωμένη στα 699 MW τ</w:t>
      </w:r>
      <w:r w:rsidR="001D563D" w:rsidRPr="002044C2">
        <w:rPr>
          <w:szCs w:val="22"/>
        </w:rPr>
        <w:t>ω</w:t>
      </w:r>
      <w:r w:rsidR="007D3AB4" w:rsidRPr="002044C2">
        <w:rPr>
          <w:szCs w:val="22"/>
        </w:rPr>
        <w:t xml:space="preserve">ν </w:t>
      </w:r>
      <w:r w:rsidR="00CC3AFC" w:rsidRPr="002044C2">
        <w:rPr>
          <w:szCs w:val="22"/>
        </w:rPr>
        <w:t xml:space="preserve">δύο </w:t>
      </w:r>
      <w:r w:rsidR="007D3AB4" w:rsidRPr="002044C2">
        <w:rPr>
          <w:szCs w:val="22"/>
        </w:rPr>
        <w:t>αντλησιοταμιευτικών συστημάτων του Θησαυρού και της Σφηκιάς</w:t>
      </w:r>
      <w:r w:rsidR="002755F6" w:rsidRPr="002044C2">
        <w:rPr>
          <w:szCs w:val="22"/>
        </w:rPr>
        <w:t>.</w:t>
      </w:r>
      <w:r w:rsidR="00975B7D" w:rsidRPr="002044C2">
        <w:rPr>
          <w:szCs w:val="22"/>
        </w:rPr>
        <w:t xml:space="preserve"> </w:t>
      </w:r>
      <w:r w:rsidR="002755F6" w:rsidRPr="002044C2">
        <w:rPr>
          <w:szCs w:val="22"/>
        </w:rPr>
        <w:t>Επιπλέον</w:t>
      </w:r>
      <w:r w:rsidR="007D3AB4" w:rsidRPr="002044C2">
        <w:rPr>
          <w:szCs w:val="22"/>
        </w:rPr>
        <w:t xml:space="preserve"> το 2023 αύξησε τη συνολική ισχύ μονάδων ορυκτού αερίου κατά 826 MW</w:t>
      </w:r>
      <w:r w:rsidR="009F5609" w:rsidRPr="002044C2">
        <w:rPr>
          <w:szCs w:val="22"/>
        </w:rPr>
        <w:t>,</w:t>
      </w:r>
      <w:r w:rsidR="002755F6" w:rsidRPr="002044C2">
        <w:rPr>
          <w:szCs w:val="22"/>
        </w:rPr>
        <w:t xml:space="preserve"> ενώ εντός 2025</w:t>
      </w:r>
      <w:r w:rsidR="008A5DD4" w:rsidRPr="002044C2">
        <w:rPr>
          <w:szCs w:val="22"/>
        </w:rPr>
        <w:t xml:space="preserve"> έγιναν</w:t>
      </w:r>
      <w:r w:rsidR="00336834" w:rsidRPr="002044C2">
        <w:rPr>
          <w:szCs w:val="22"/>
        </w:rPr>
        <w:t xml:space="preserve"> </w:t>
      </w:r>
      <w:r w:rsidR="008A5DD4" w:rsidRPr="002044C2">
        <w:rPr>
          <w:szCs w:val="22"/>
        </w:rPr>
        <w:t xml:space="preserve">ανακοινώσεις για επιπλέον ισχύ 1.5 </w:t>
      </w:r>
      <w:r w:rsidR="008A5DD4" w:rsidRPr="002044C2">
        <w:rPr>
          <w:szCs w:val="22"/>
          <w:lang w:val="en-US"/>
        </w:rPr>
        <w:t>GW</w:t>
      </w:r>
      <w:r w:rsidR="008A5DD4" w:rsidRPr="002044C2">
        <w:rPr>
          <w:szCs w:val="22"/>
        </w:rPr>
        <w:t xml:space="preserve"> νέων μονάδων αερίου χωρίς μάλιστα αυτές οι</w:t>
      </w:r>
      <w:r w:rsidR="008A5DD4">
        <w:rPr>
          <w:szCs w:val="22"/>
        </w:rPr>
        <w:t xml:space="preserve"> μονάδες να συμπεριλαμβάνονται στο ΕΣΕΚ το οποίο η χώρα κατέθεσε επισήμως πολύ πρόσφατα (Δεκέμβριος 202</w:t>
      </w:r>
      <w:r w:rsidR="00336834">
        <w:rPr>
          <w:szCs w:val="22"/>
        </w:rPr>
        <w:t>4</w:t>
      </w:r>
      <w:r w:rsidR="008A5DD4">
        <w:rPr>
          <w:szCs w:val="22"/>
        </w:rPr>
        <w:t>)</w:t>
      </w:r>
      <w:r w:rsidR="007D3AB4" w:rsidRPr="00C907C9">
        <w:rPr>
          <w:szCs w:val="22"/>
        </w:rPr>
        <w:t xml:space="preserve">. </w:t>
      </w:r>
      <w:r w:rsidR="00332C87" w:rsidRPr="00C907C9">
        <w:rPr>
          <w:szCs w:val="22"/>
        </w:rPr>
        <w:t>Η ευεργετική επίδραση των παραπάνω επιλογών</w:t>
      </w:r>
      <w:r w:rsidRPr="00C907C9">
        <w:rPr>
          <w:szCs w:val="22"/>
        </w:rPr>
        <w:t xml:space="preserve"> </w:t>
      </w:r>
      <w:r w:rsidR="00332C87" w:rsidRPr="00C907C9">
        <w:rPr>
          <w:szCs w:val="22"/>
        </w:rPr>
        <w:t xml:space="preserve">ενεργειακής πολιτικής </w:t>
      </w:r>
      <w:r w:rsidR="007D3AB4" w:rsidRPr="00C907C9">
        <w:rPr>
          <w:szCs w:val="22"/>
        </w:rPr>
        <w:t xml:space="preserve">της Πορτογαλίας </w:t>
      </w:r>
      <w:r w:rsidR="00332C87" w:rsidRPr="00C907C9">
        <w:rPr>
          <w:szCs w:val="22"/>
        </w:rPr>
        <w:t>φαίνεται στο</w:t>
      </w:r>
      <w:r w:rsidR="00F65290" w:rsidRPr="00C907C9">
        <w:rPr>
          <w:szCs w:val="22"/>
        </w:rPr>
        <w:t xml:space="preserve"> </w:t>
      </w:r>
      <w:r w:rsidR="00F65290" w:rsidRPr="00D84A79">
        <w:rPr>
          <w:b/>
          <w:bCs/>
          <w:szCs w:val="22"/>
        </w:rPr>
        <w:fldChar w:fldCharType="begin"/>
      </w:r>
      <w:r w:rsidR="00F65290" w:rsidRPr="00D84A79">
        <w:rPr>
          <w:b/>
          <w:bCs/>
          <w:szCs w:val="22"/>
        </w:rPr>
        <w:instrText xml:space="preserve"> REF _Ref213420895 \h  \* MERGEFORMAT </w:instrText>
      </w:r>
      <w:r w:rsidR="00F65290" w:rsidRPr="00D84A79">
        <w:rPr>
          <w:b/>
          <w:bCs/>
          <w:szCs w:val="22"/>
        </w:rPr>
      </w:r>
      <w:r w:rsidR="00F65290" w:rsidRPr="00D84A79">
        <w:rPr>
          <w:b/>
          <w:bCs/>
          <w:szCs w:val="22"/>
        </w:rPr>
        <w:fldChar w:fldCharType="separate"/>
      </w:r>
      <w:r w:rsidR="009328A6" w:rsidRPr="00C907C9">
        <w:rPr>
          <w:b/>
          <w:bCs/>
        </w:rPr>
        <w:t xml:space="preserve">Διάγραμμα </w:t>
      </w:r>
      <w:r w:rsidR="009328A6">
        <w:rPr>
          <w:b/>
          <w:bCs/>
        </w:rPr>
        <w:t>5</w:t>
      </w:r>
      <w:r w:rsidR="00F65290" w:rsidRPr="00D84A79">
        <w:rPr>
          <w:b/>
          <w:bCs/>
          <w:szCs w:val="22"/>
        </w:rPr>
        <w:fldChar w:fldCharType="end"/>
      </w:r>
      <w:r w:rsidR="00332C87" w:rsidRPr="00C907C9">
        <w:rPr>
          <w:szCs w:val="22"/>
        </w:rPr>
        <w:t>.</w:t>
      </w:r>
    </w:p>
    <w:p w14:paraId="65D63AE5" w14:textId="77777777" w:rsidR="009E436E" w:rsidRPr="00C907C9" w:rsidRDefault="009E436E" w:rsidP="00BD19DE">
      <w:pPr>
        <w:spacing w:after="0"/>
        <w:rPr>
          <w:szCs w:val="22"/>
        </w:rPr>
      </w:pPr>
    </w:p>
    <w:p w14:paraId="74C67800" w14:textId="1328CA56" w:rsidR="0016689B" w:rsidRPr="00C907C9" w:rsidRDefault="00A1744E" w:rsidP="00BD19DE">
      <w:pPr>
        <w:keepNext/>
        <w:spacing w:after="0"/>
      </w:pPr>
      <w:r>
        <w:rPr>
          <w:noProof/>
        </w:rPr>
        <w:drawing>
          <wp:anchor distT="0" distB="0" distL="114300" distR="114300" simplePos="0" relativeHeight="251658243" behindDoc="0" locked="0" layoutInCell="1" allowOverlap="1" wp14:anchorId="1EE6EF6E" wp14:editId="4D742F3E">
            <wp:simplePos x="0" y="0"/>
            <wp:positionH relativeFrom="margin">
              <wp:align>center</wp:align>
            </wp:positionH>
            <wp:positionV relativeFrom="paragraph">
              <wp:posOffset>0</wp:posOffset>
            </wp:positionV>
            <wp:extent cx="6431518" cy="3240000"/>
            <wp:effectExtent l="0" t="0" r="7620" b="0"/>
            <wp:wrapTopAndBottom/>
            <wp:docPr id="19661170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1705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6431518" cy="3240000"/>
                    </a:xfrm>
                    <a:prstGeom prst="rect">
                      <a:avLst/>
                    </a:prstGeom>
                  </pic:spPr>
                </pic:pic>
              </a:graphicData>
            </a:graphic>
            <wp14:sizeRelH relativeFrom="margin">
              <wp14:pctWidth>0</wp14:pctWidth>
            </wp14:sizeRelH>
            <wp14:sizeRelV relativeFrom="margin">
              <wp14:pctHeight>0</wp14:pctHeight>
            </wp14:sizeRelV>
          </wp:anchor>
        </w:drawing>
      </w:r>
    </w:p>
    <w:p w14:paraId="133B1E65" w14:textId="61F40FC1" w:rsidR="00973FC8" w:rsidRPr="00C907C9" w:rsidRDefault="0016689B" w:rsidP="00BD19DE">
      <w:pPr>
        <w:pStyle w:val="Caption"/>
        <w:spacing w:after="0" w:line="278" w:lineRule="auto"/>
      </w:pPr>
      <w:bookmarkStart w:id="5" w:name="_Ref213420895"/>
      <w:r w:rsidRPr="00C907C9">
        <w:rPr>
          <w:b/>
          <w:bCs/>
        </w:rPr>
        <w:t xml:space="preserve">Διάγραμμα </w:t>
      </w:r>
      <w:r w:rsidRPr="00C907C9">
        <w:rPr>
          <w:b/>
          <w:bCs/>
        </w:rPr>
        <w:fldChar w:fldCharType="begin"/>
      </w:r>
      <w:r w:rsidRPr="00C907C9">
        <w:rPr>
          <w:b/>
          <w:bCs/>
        </w:rPr>
        <w:instrText xml:space="preserve"> SEQ Διάγραμμα \* ARABIC </w:instrText>
      </w:r>
      <w:r w:rsidRPr="00C907C9">
        <w:rPr>
          <w:b/>
          <w:bCs/>
        </w:rPr>
        <w:fldChar w:fldCharType="separate"/>
      </w:r>
      <w:r w:rsidR="009328A6">
        <w:rPr>
          <w:b/>
          <w:bCs/>
          <w:noProof/>
        </w:rPr>
        <w:t>5</w:t>
      </w:r>
      <w:r w:rsidRPr="00C907C9">
        <w:rPr>
          <w:b/>
          <w:bCs/>
        </w:rPr>
        <w:fldChar w:fldCharType="end"/>
      </w:r>
      <w:bookmarkEnd w:id="5"/>
      <w:r w:rsidRPr="00C907C9">
        <w:t xml:space="preserve">: Συντελεστές συσχέτισης Pearson μεταξύ της </w:t>
      </w:r>
      <w:r w:rsidR="00371205">
        <w:t>ωριαίας</w:t>
      </w:r>
      <w:r w:rsidRPr="00C907C9">
        <w:t xml:space="preserve"> τιμής στη χονδρεμπορική αγορά (DAM) και </w:t>
      </w:r>
      <w:r w:rsidR="001C44B9">
        <w:t>της ωριαίας</w:t>
      </w:r>
      <w:r w:rsidRPr="00C907C9">
        <w:t xml:space="preserve"> ηλεκτροπαραγωγή</w:t>
      </w:r>
      <w:r w:rsidR="001C44B9">
        <w:t>ς</w:t>
      </w:r>
      <w:r w:rsidRPr="00C907C9">
        <w:t xml:space="preserve"> της κάθε τεχνολογίας, ανά εξάμηνο</w:t>
      </w:r>
      <w:r w:rsidR="00D532EE">
        <w:fldChar w:fldCharType="begin"/>
      </w:r>
      <w:r w:rsidR="00D532EE">
        <w:instrText xml:space="preserve"> NOTEREF _Ref215071562 \f \h </w:instrText>
      </w:r>
      <w:r w:rsidR="00D532EE">
        <w:fldChar w:fldCharType="separate"/>
      </w:r>
      <w:r w:rsidR="009328A6" w:rsidRPr="009328A6">
        <w:rPr>
          <w:rStyle w:val="FootnoteReference"/>
        </w:rPr>
        <w:t>9</w:t>
      </w:r>
      <w:r w:rsidR="00D532EE">
        <w:fldChar w:fldCharType="end"/>
      </w:r>
      <w:r w:rsidRPr="00C907C9">
        <w:t xml:space="preserve"> για την Πορτογαλία.  Πηγή: ENTSO-</w:t>
      </w:r>
      <w:r w:rsidR="003323DC" w:rsidRPr="00C907C9">
        <w:t>E</w:t>
      </w:r>
      <w:r w:rsidRPr="00C907C9">
        <w:t>.</w:t>
      </w:r>
    </w:p>
    <w:p w14:paraId="4756CB80" w14:textId="77777777" w:rsidR="009E436E" w:rsidRDefault="009E436E" w:rsidP="00BD19DE">
      <w:pPr>
        <w:spacing w:after="0"/>
        <w:rPr>
          <w:szCs w:val="22"/>
        </w:rPr>
      </w:pPr>
    </w:p>
    <w:p w14:paraId="11A0AF4C" w14:textId="0F2606E3" w:rsidR="00221BE5" w:rsidRDefault="00221BE5" w:rsidP="00BD19DE">
      <w:pPr>
        <w:spacing w:after="0"/>
        <w:rPr>
          <w:szCs w:val="22"/>
        </w:rPr>
      </w:pPr>
      <w:r>
        <w:rPr>
          <w:szCs w:val="22"/>
        </w:rPr>
        <w:t>Καταρχάς, κ</w:t>
      </w:r>
      <w:r w:rsidR="003723A3">
        <w:rPr>
          <w:szCs w:val="22"/>
        </w:rPr>
        <w:t xml:space="preserve">αι στην </w:t>
      </w:r>
      <w:r w:rsidR="00FE2873">
        <w:rPr>
          <w:szCs w:val="22"/>
        </w:rPr>
        <w:t xml:space="preserve">περίπτωση της Πορτογαλίας εμφανίζεται </w:t>
      </w:r>
      <w:r w:rsidR="009741AA">
        <w:rPr>
          <w:szCs w:val="22"/>
        </w:rPr>
        <w:t xml:space="preserve">θετική συσχέτιση των τιμών με το αέριο </w:t>
      </w:r>
      <w:r w:rsidR="00A4713E">
        <w:rPr>
          <w:szCs w:val="22"/>
        </w:rPr>
        <w:t>κ</w:t>
      </w:r>
      <w:r w:rsidR="00232EB1">
        <w:rPr>
          <w:szCs w:val="22"/>
        </w:rPr>
        <w:t xml:space="preserve">αι αρνητική με τις ΑΠΕ. Ωστόσο, </w:t>
      </w:r>
      <w:r w:rsidR="009F5609">
        <w:rPr>
          <w:szCs w:val="22"/>
        </w:rPr>
        <w:t xml:space="preserve">οι </w:t>
      </w:r>
      <w:r w:rsidR="00AB047E">
        <w:rPr>
          <w:szCs w:val="22"/>
        </w:rPr>
        <w:t>θετικοί</w:t>
      </w:r>
      <w:r w:rsidR="00232EB1">
        <w:rPr>
          <w:szCs w:val="22"/>
        </w:rPr>
        <w:t xml:space="preserve"> συντελεστές συσχέτισης </w:t>
      </w:r>
      <w:r w:rsidR="00AB047E">
        <w:rPr>
          <w:szCs w:val="22"/>
        </w:rPr>
        <w:t>του αερίου είναι σαφώς χαμηλότεροι των αντίστοιχων της Ελλάδας (σύγκριση με</w:t>
      </w:r>
      <w:r w:rsidR="00917222">
        <w:rPr>
          <w:szCs w:val="22"/>
        </w:rPr>
        <w:t xml:space="preserve"> </w:t>
      </w:r>
      <w:r w:rsidR="00917222" w:rsidRPr="00917222">
        <w:rPr>
          <w:szCs w:val="22"/>
        </w:rPr>
        <w:t xml:space="preserve">το </w:t>
      </w:r>
      <w:r w:rsidR="00917222" w:rsidRPr="00917222">
        <w:rPr>
          <w:szCs w:val="22"/>
        </w:rPr>
        <w:fldChar w:fldCharType="begin"/>
      </w:r>
      <w:r w:rsidR="00917222" w:rsidRPr="00917222">
        <w:rPr>
          <w:szCs w:val="22"/>
        </w:rPr>
        <w:instrText xml:space="preserve"> REF _Ref213257519 \h  \* MERGEFORMAT </w:instrText>
      </w:r>
      <w:r w:rsidR="00917222" w:rsidRPr="00917222">
        <w:rPr>
          <w:szCs w:val="22"/>
        </w:rPr>
      </w:r>
      <w:r w:rsidR="00917222" w:rsidRPr="00917222">
        <w:rPr>
          <w:szCs w:val="22"/>
        </w:rPr>
        <w:fldChar w:fldCharType="separate"/>
      </w:r>
      <w:r w:rsidR="009328A6" w:rsidRPr="009328A6">
        <w:t>Διάγραμμα 3</w:t>
      </w:r>
      <w:r w:rsidR="00917222" w:rsidRPr="00917222">
        <w:rPr>
          <w:szCs w:val="22"/>
        </w:rPr>
        <w:fldChar w:fldCharType="end"/>
      </w:r>
      <w:r w:rsidR="00AB047E">
        <w:rPr>
          <w:szCs w:val="22"/>
        </w:rPr>
        <w:t>) ενώ</w:t>
      </w:r>
      <w:r w:rsidR="002E3480">
        <w:rPr>
          <w:szCs w:val="22"/>
        </w:rPr>
        <w:t>, -πάλι σε αντίθεση με την Ελλάδα-</w:t>
      </w:r>
      <w:r w:rsidR="00AB047E">
        <w:rPr>
          <w:szCs w:val="22"/>
        </w:rPr>
        <w:t xml:space="preserve"> </w:t>
      </w:r>
      <w:r w:rsidR="002E3480">
        <w:rPr>
          <w:szCs w:val="22"/>
        </w:rPr>
        <w:t xml:space="preserve">είναι </w:t>
      </w:r>
      <w:r>
        <w:rPr>
          <w:szCs w:val="22"/>
        </w:rPr>
        <w:t>σε</w:t>
      </w:r>
      <w:r w:rsidR="002E3480">
        <w:rPr>
          <w:szCs w:val="22"/>
        </w:rPr>
        <w:t xml:space="preserve"> απόλυτ</w:t>
      </w:r>
      <w:r>
        <w:rPr>
          <w:szCs w:val="22"/>
        </w:rPr>
        <w:t>ες</w:t>
      </w:r>
      <w:r w:rsidR="002E3480">
        <w:rPr>
          <w:szCs w:val="22"/>
        </w:rPr>
        <w:t xml:space="preserve"> τιμ</w:t>
      </w:r>
      <w:r>
        <w:rPr>
          <w:szCs w:val="22"/>
        </w:rPr>
        <w:t>ές</w:t>
      </w:r>
      <w:r w:rsidR="002E3480">
        <w:rPr>
          <w:szCs w:val="22"/>
        </w:rPr>
        <w:t xml:space="preserve"> χαμηλότεροι από αυτούς των ΑΠΕ </w:t>
      </w:r>
      <w:r w:rsidR="009F5609">
        <w:rPr>
          <w:szCs w:val="22"/>
        </w:rPr>
        <w:t xml:space="preserve">για </w:t>
      </w:r>
      <w:r w:rsidR="002E3480">
        <w:rPr>
          <w:szCs w:val="22"/>
        </w:rPr>
        <w:t xml:space="preserve">τα δύο </w:t>
      </w:r>
      <w:r>
        <w:rPr>
          <w:szCs w:val="22"/>
        </w:rPr>
        <w:t>από τα τρία εξάμηνα που εξετάστηκαν.</w:t>
      </w:r>
      <w:r w:rsidR="002E3480">
        <w:rPr>
          <w:szCs w:val="22"/>
        </w:rPr>
        <w:t xml:space="preserve"> </w:t>
      </w:r>
    </w:p>
    <w:p w14:paraId="5A07ED65" w14:textId="77777777" w:rsidR="00BD19DE" w:rsidRDefault="00BD19DE" w:rsidP="00BD19DE">
      <w:pPr>
        <w:spacing w:after="0"/>
        <w:rPr>
          <w:szCs w:val="22"/>
        </w:rPr>
      </w:pPr>
    </w:p>
    <w:p w14:paraId="31684E05" w14:textId="13F285E9" w:rsidR="007D3AB4" w:rsidRDefault="00221BE5" w:rsidP="00BD19DE">
      <w:pPr>
        <w:spacing w:after="0"/>
        <w:rPr>
          <w:szCs w:val="22"/>
        </w:rPr>
      </w:pPr>
      <w:r>
        <w:rPr>
          <w:szCs w:val="22"/>
        </w:rPr>
        <w:t xml:space="preserve">Επιπλέον, </w:t>
      </w:r>
      <w:r w:rsidR="007D3AB4" w:rsidRPr="00C907C9">
        <w:rPr>
          <w:szCs w:val="22"/>
        </w:rPr>
        <w:t>διαπιστώνεται</w:t>
      </w:r>
      <w:r w:rsidR="00332C87" w:rsidRPr="00C907C9">
        <w:rPr>
          <w:szCs w:val="22"/>
        </w:rPr>
        <w:t xml:space="preserve"> </w:t>
      </w:r>
      <w:r w:rsidR="007D3AB4" w:rsidRPr="00C907C9">
        <w:rPr>
          <w:szCs w:val="22"/>
        </w:rPr>
        <w:t>μια</w:t>
      </w:r>
      <w:r w:rsidR="00332C87" w:rsidRPr="00C907C9">
        <w:rPr>
          <w:szCs w:val="22"/>
        </w:rPr>
        <w:t xml:space="preserve"> σημαντική συσχέτιση της αντλησιοταμίευσης με τη μείωση των τιμών</w:t>
      </w:r>
      <w:r w:rsidR="007D3AB4" w:rsidRPr="00C907C9">
        <w:rPr>
          <w:szCs w:val="22"/>
        </w:rPr>
        <w:t>.</w:t>
      </w:r>
      <w:r w:rsidR="00332C87" w:rsidRPr="00C907C9">
        <w:rPr>
          <w:szCs w:val="22"/>
        </w:rPr>
        <w:t xml:space="preserve"> </w:t>
      </w:r>
      <w:r w:rsidR="007D3AB4" w:rsidRPr="00C907C9">
        <w:rPr>
          <w:szCs w:val="22"/>
        </w:rPr>
        <w:t xml:space="preserve">Πιο </w:t>
      </w:r>
      <w:r w:rsidR="00195816" w:rsidRPr="00C907C9">
        <w:rPr>
          <w:szCs w:val="22"/>
        </w:rPr>
        <w:t>συγκεκριμένα</w:t>
      </w:r>
      <w:r w:rsidR="007D3AB4" w:rsidRPr="00C907C9">
        <w:rPr>
          <w:szCs w:val="22"/>
        </w:rPr>
        <w:t>, ο</w:t>
      </w:r>
      <w:r w:rsidR="00332C87" w:rsidRPr="00C907C9">
        <w:rPr>
          <w:szCs w:val="22"/>
        </w:rPr>
        <w:t xml:space="preserve"> συντελεστή</w:t>
      </w:r>
      <w:r w:rsidR="007D3AB4" w:rsidRPr="00C907C9">
        <w:rPr>
          <w:szCs w:val="22"/>
        </w:rPr>
        <w:t>ς συσχέτισης για την αντλησιοταμίευση</w:t>
      </w:r>
      <w:r w:rsidR="00332C87" w:rsidRPr="00C907C9">
        <w:rPr>
          <w:szCs w:val="22"/>
        </w:rPr>
        <w:t xml:space="preserve"> </w:t>
      </w:r>
      <w:r w:rsidR="007D3AB4" w:rsidRPr="00C907C9">
        <w:rPr>
          <w:szCs w:val="22"/>
        </w:rPr>
        <w:t xml:space="preserve">στην Πορτογαλία </w:t>
      </w:r>
      <w:r w:rsidR="00332C87" w:rsidRPr="00C907C9">
        <w:rPr>
          <w:szCs w:val="22"/>
        </w:rPr>
        <w:t xml:space="preserve">κυμαίνεται από </w:t>
      </w:r>
      <w:r w:rsidR="00FE51B4" w:rsidRPr="00C907C9">
        <w:rPr>
          <w:szCs w:val="22"/>
        </w:rPr>
        <w:t>-0.</w:t>
      </w:r>
      <w:r w:rsidR="007B1AC6">
        <w:rPr>
          <w:szCs w:val="22"/>
        </w:rPr>
        <w:t>48</w:t>
      </w:r>
      <w:r w:rsidR="007B1AC6" w:rsidRPr="00C907C9">
        <w:rPr>
          <w:szCs w:val="22"/>
        </w:rPr>
        <w:t xml:space="preserve"> </w:t>
      </w:r>
      <w:r w:rsidR="00332C87" w:rsidRPr="00C907C9">
        <w:rPr>
          <w:szCs w:val="22"/>
        </w:rPr>
        <w:t>το Α</w:t>
      </w:r>
      <w:r w:rsidR="00CC3AFC" w:rsidRPr="00C907C9">
        <w:rPr>
          <w:szCs w:val="22"/>
        </w:rPr>
        <w:t>’</w:t>
      </w:r>
      <w:r w:rsidR="00332C87" w:rsidRPr="00C907C9">
        <w:rPr>
          <w:szCs w:val="22"/>
        </w:rPr>
        <w:t xml:space="preserve"> εξάμηνο του 2024 έως και </w:t>
      </w:r>
      <w:r w:rsidR="005D07B7" w:rsidRPr="00C907C9">
        <w:rPr>
          <w:szCs w:val="22"/>
        </w:rPr>
        <w:t>-0.</w:t>
      </w:r>
      <w:r w:rsidR="007B1AC6">
        <w:rPr>
          <w:szCs w:val="22"/>
        </w:rPr>
        <w:t>7</w:t>
      </w:r>
      <w:r w:rsidR="007B1AC6" w:rsidRPr="00C907C9">
        <w:rPr>
          <w:szCs w:val="22"/>
        </w:rPr>
        <w:t xml:space="preserve"> </w:t>
      </w:r>
      <w:r w:rsidR="00332C87" w:rsidRPr="00C907C9">
        <w:rPr>
          <w:szCs w:val="22"/>
        </w:rPr>
        <w:t xml:space="preserve">το Β’ εξάμηνο του 2024, τιμή </w:t>
      </w:r>
      <w:r w:rsidR="007D3AB4" w:rsidRPr="00C907C9">
        <w:rPr>
          <w:szCs w:val="22"/>
        </w:rPr>
        <w:t xml:space="preserve">μάλιστα </w:t>
      </w:r>
      <w:r w:rsidR="00180BA6">
        <w:rPr>
          <w:szCs w:val="22"/>
        </w:rPr>
        <w:t>μεγαλύτερη</w:t>
      </w:r>
      <w:r w:rsidR="00180BA6" w:rsidRPr="00C907C9">
        <w:rPr>
          <w:szCs w:val="22"/>
        </w:rPr>
        <w:t xml:space="preserve"> </w:t>
      </w:r>
      <w:r w:rsidR="007D3AB4" w:rsidRPr="00C907C9">
        <w:rPr>
          <w:szCs w:val="22"/>
        </w:rPr>
        <w:t>σε</w:t>
      </w:r>
      <w:r w:rsidR="00332C87" w:rsidRPr="00C907C9">
        <w:rPr>
          <w:szCs w:val="22"/>
        </w:rPr>
        <w:t xml:space="preserve"> απόλυτη τιμή </w:t>
      </w:r>
      <w:r w:rsidR="00180BA6">
        <w:rPr>
          <w:szCs w:val="22"/>
        </w:rPr>
        <w:t>από</w:t>
      </w:r>
      <w:r w:rsidR="00180BA6" w:rsidRPr="00C907C9">
        <w:rPr>
          <w:szCs w:val="22"/>
        </w:rPr>
        <w:t xml:space="preserve"> </w:t>
      </w:r>
      <w:r w:rsidR="00332C87" w:rsidRPr="00C907C9">
        <w:rPr>
          <w:szCs w:val="22"/>
        </w:rPr>
        <w:t>αυτή του συντελεστή συσχέτισης των ΑΠΕ για το ίδιο εξάμηνο</w:t>
      </w:r>
      <w:r w:rsidR="007D3AB4" w:rsidRPr="00C907C9">
        <w:rPr>
          <w:szCs w:val="22"/>
        </w:rPr>
        <w:t xml:space="preserve"> (</w:t>
      </w:r>
      <w:r w:rsidR="006676CB" w:rsidRPr="00C907C9">
        <w:rPr>
          <w:szCs w:val="22"/>
        </w:rPr>
        <w:t>-0.</w:t>
      </w:r>
      <w:r w:rsidR="00FA2E76">
        <w:rPr>
          <w:szCs w:val="22"/>
        </w:rPr>
        <w:t>55</w:t>
      </w:r>
      <w:r w:rsidR="007D3AB4" w:rsidRPr="00C907C9">
        <w:rPr>
          <w:szCs w:val="22"/>
        </w:rPr>
        <w:t>)</w:t>
      </w:r>
      <w:r w:rsidR="00332C87" w:rsidRPr="00C907C9">
        <w:rPr>
          <w:szCs w:val="22"/>
        </w:rPr>
        <w:t xml:space="preserve">. </w:t>
      </w:r>
      <w:r w:rsidR="007D3AB4" w:rsidRPr="00C907C9">
        <w:rPr>
          <w:szCs w:val="22"/>
        </w:rPr>
        <w:t>Στην πράξη, οι υποδομές αποθήκευσης βοήθησαν την Πορτογαλία να αποθηκεύει την περίσσεια ΑΠΕ τις μεσημεριανές ώρες και να τις αποδίδει τις βραδινές ώρες με αποτέλεσμα τον περιορισμό της ανάγκης χρήσης αερίου</w:t>
      </w:r>
      <w:r w:rsidR="00CC3AFC" w:rsidRPr="00C907C9">
        <w:rPr>
          <w:szCs w:val="22"/>
        </w:rPr>
        <w:t>,</w:t>
      </w:r>
      <w:r w:rsidR="007D3AB4" w:rsidRPr="00C907C9">
        <w:rPr>
          <w:szCs w:val="22"/>
        </w:rPr>
        <w:t xml:space="preserve"> σε αντίθεση με </w:t>
      </w:r>
      <w:r w:rsidR="007D3AB4" w:rsidRPr="00C907C9">
        <w:rPr>
          <w:szCs w:val="22"/>
        </w:rPr>
        <w:lastRenderedPageBreak/>
        <w:t>την Ελλάδα που τα τελευταία δύο χρόνια αυξάνει συνεχώς τη χρήση αερίου χωρίς να έχει προχωρήσει στην αποθήκευση.</w:t>
      </w:r>
    </w:p>
    <w:p w14:paraId="7FFDDE93" w14:textId="77777777" w:rsidR="00BD19DE" w:rsidRPr="00C907C9" w:rsidRDefault="00BD19DE" w:rsidP="00BD19DE">
      <w:pPr>
        <w:spacing w:after="0"/>
        <w:rPr>
          <w:szCs w:val="22"/>
        </w:rPr>
      </w:pPr>
    </w:p>
    <w:p w14:paraId="4A189F46" w14:textId="27711056" w:rsidR="004B0B36" w:rsidRDefault="00316A10" w:rsidP="00BD19DE">
      <w:pPr>
        <w:spacing w:after="0"/>
        <w:rPr>
          <w:szCs w:val="22"/>
        </w:rPr>
      </w:pPr>
      <w:r w:rsidRPr="00C907C9">
        <w:rPr>
          <w:szCs w:val="22"/>
        </w:rPr>
        <w:t xml:space="preserve">Η </w:t>
      </w:r>
      <w:r w:rsidR="005556E1" w:rsidRPr="00C907C9">
        <w:rPr>
          <w:szCs w:val="22"/>
        </w:rPr>
        <w:t xml:space="preserve">ευεργετική </w:t>
      </w:r>
      <w:r w:rsidRPr="00C907C9">
        <w:rPr>
          <w:szCs w:val="22"/>
        </w:rPr>
        <w:t>επίδραση της αποθήκευσης</w:t>
      </w:r>
      <w:r w:rsidR="008119FF" w:rsidRPr="00C907C9">
        <w:rPr>
          <w:szCs w:val="22"/>
        </w:rPr>
        <w:t xml:space="preserve"> αλλά και του χαμηλότερου μεριδίου αερίου</w:t>
      </w:r>
      <w:r w:rsidRPr="00C907C9">
        <w:rPr>
          <w:szCs w:val="22"/>
        </w:rPr>
        <w:t xml:space="preserve"> </w:t>
      </w:r>
      <w:r w:rsidR="00616370" w:rsidRPr="00C907C9">
        <w:rPr>
          <w:szCs w:val="22"/>
        </w:rPr>
        <w:t>στον περιορισμό της διακύμανσης των τιμών</w:t>
      </w:r>
      <w:r w:rsidR="00DB14F0" w:rsidRPr="00C907C9">
        <w:rPr>
          <w:szCs w:val="22"/>
        </w:rPr>
        <w:t xml:space="preserve"> εντός τους έτους</w:t>
      </w:r>
      <w:r w:rsidR="00616370" w:rsidRPr="00C907C9">
        <w:rPr>
          <w:szCs w:val="22"/>
        </w:rPr>
        <w:t xml:space="preserve"> </w:t>
      </w:r>
      <w:r w:rsidR="00DB14F0" w:rsidRPr="00C907C9">
        <w:rPr>
          <w:szCs w:val="22"/>
        </w:rPr>
        <w:t xml:space="preserve">αντικατοπτρίζεται </w:t>
      </w:r>
      <w:r w:rsidR="007846CD" w:rsidRPr="00C907C9">
        <w:rPr>
          <w:szCs w:val="22"/>
        </w:rPr>
        <w:t xml:space="preserve">συγκρίνοντας </w:t>
      </w:r>
      <w:r w:rsidR="004864A5" w:rsidRPr="00C907C9">
        <w:rPr>
          <w:szCs w:val="22"/>
        </w:rPr>
        <w:t xml:space="preserve">τα ετήσια στατιστικά </w:t>
      </w:r>
      <w:r w:rsidR="009F5609" w:rsidRPr="00C907C9">
        <w:rPr>
          <w:szCs w:val="22"/>
        </w:rPr>
        <w:t>τ</w:t>
      </w:r>
      <w:r w:rsidR="009F5609">
        <w:rPr>
          <w:szCs w:val="22"/>
        </w:rPr>
        <w:t>ων</w:t>
      </w:r>
      <w:r w:rsidR="009F5609" w:rsidRPr="00C907C9">
        <w:rPr>
          <w:szCs w:val="22"/>
        </w:rPr>
        <w:t xml:space="preserve"> τιμ</w:t>
      </w:r>
      <w:r w:rsidR="009F5609">
        <w:rPr>
          <w:szCs w:val="22"/>
        </w:rPr>
        <w:t>ών</w:t>
      </w:r>
      <w:r w:rsidR="009F5609" w:rsidRPr="00C907C9">
        <w:rPr>
          <w:szCs w:val="22"/>
        </w:rPr>
        <w:t xml:space="preserve"> </w:t>
      </w:r>
      <w:r w:rsidR="00C313ED" w:rsidRPr="00C907C9">
        <w:rPr>
          <w:szCs w:val="22"/>
        </w:rPr>
        <w:t xml:space="preserve">στην προημερήσια αγορά μεταξύ των δύο χωρών. </w:t>
      </w:r>
      <w:r w:rsidR="00025D98" w:rsidRPr="00C907C9">
        <w:rPr>
          <w:szCs w:val="22"/>
        </w:rPr>
        <w:t xml:space="preserve">Όπως φαίνεται στον </w:t>
      </w:r>
      <w:r w:rsidR="00025D98" w:rsidRPr="009B1335">
        <w:rPr>
          <w:b/>
          <w:bCs/>
          <w:szCs w:val="22"/>
        </w:rPr>
        <w:fldChar w:fldCharType="begin"/>
      </w:r>
      <w:r w:rsidR="00025D98" w:rsidRPr="009B1335">
        <w:rPr>
          <w:b/>
          <w:bCs/>
          <w:szCs w:val="22"/>
        </w:rPr>
        <w:instrText xml:space="preserve"> REF _Ref213421003 \h  \* MERGEFORMAT </w:instrText>
      </w:r>
      <w:r w:rsidR="00025D98" w:rsidRPr="009B1335">
        <w:rPr>
          <w:b/>
          <w:bCs/>
          <w:szCs w:val="22"/>
        </w:rPr>
      </w:r>
      <w:r w:rsidR="00025D98" w:rsidRPr="009B1335">
        <w:rPr>
          <w:b/>
          <w:bCs/>
          <w:szCs w:val="22"/>
        </w:rPr>
        <w:fldChar w:fldCharType="separate"/>
      </w:r>
      <w:r w:rsidR="009328A6" w:rsidRPr="002044C2">
        <w:rPr>
          <w:b/>
          <w:bCs/>
        </w:rPr>
        <w:t xml:space="preserve">Πίνακας </w:t>
      </w:r>
      <w:r w:rsidR="009328A6">
        <w:rPr>
          <w:b/>
          <w:bCs/>
        </w:rPr>
        <w:t>1</w:t>
      </w:r>
      <w:r w:rsidR="00025D98" w:rsidRPr="009B1335">
        <w:rPr>
          <w:b/>
          <w:bCs/>
          <w:szCs w:val="22"/>
        </w:rPr>
        <w:fldChar w:fldCharType="end"/>
      </w:r>
      <w:r w:rsidR="00547EB0" w:rsidRPr="00C907C9">
        <w:rPr>
          <w:szCs w:val="22"/>
        </w:rPr>
        <w:t>,</w:t>
      </w:r>
      <w:r w:rsidR="00C313ED" w:rsidRPr="00C907C9">
        <w:rPr>
          <w:szCs w:val="22"/>
        </w:rPr>
        <w:t xml:space="preserve"> </w:t>
      </w:r>
      <w:r w:rsidR="009C0A09" w:rsidRPr="00C907C9">
        <w:rPr>
          <w:szCs w:val="22"/>
        </w:rPr>
        <w:t xml:space="preserve">από το 2023 και μετά (όποτε και η Πορτογαλία επένδυσε στην αύξηση της εγκατεστημένης ισχύος σε αντλησιοταμίευση) </w:t>
      </w:r>
      <w:r w:rsidR="00173E5E" w:rsidRPr="00C907C9">
        <w:rPr>
          <w:szCs w:val="22"/>
        </w:rPr>
        <w:t>τόσο η μέση όσο και η μέγιστη τιμή</w:t>
      </w:r>
      <w:r w:rsidR="00535C98" w:rsidRPr="00C907C9">
        <w:rPr>
          <w:szCs w:val="22"/>
        </w:rPr>
        <w:t xml:space="preserve"> της Πορτογαλίας</w:t>
      </w:r>
      <w:r w:rsidR="00F83883" w:rsidRPr="00C907C9">
        <w:rPr>
          <w:szCs w:val="22"/>
        </w:rPr>
        <w:t xml:space="preserve"> παρέμεινε </w:t>
      </w:r>
      <w:r w:rsidR="00B91FE5" w:rsidRPr="00C907C9">
        <w:rPr>
          <w:szCs w:val="22"/>
        </w:rPr>
        <w:t>σημαντικά κάτω από τις αντίστοιχες τιμές της Ελλάδας</w:t>
      </w:r>
      <w:r w:rsidR="00BB4D73" w:rsidRPr="00C907C9">
        <w:rPr>
          <w:szCs w:val="22"/>
        </w:rPr>
        <w:t xml:space="preserve">, </w:t>
      </w:r>
      <w:r w:rsidR="00AC1622" w:rsidRPr="00C907C9">
        <w:rPr>
          <w:szCs w:val="22"/>
        </w:rPr>
        <w:t>ένδειξη</w:t>
      </w:r>
      <w:r w:rsidR="00BB4D73" w:rsidRPr="00C907C9">
        <w:rPr>
          <w:szCs w:val="22"/>
        </w:rPr>
        <w:t xml:space="preserve"> ότι η αποθήκευση </w:t>
      </w:r>
      <w:r w:rsidR="00347708" w:rsidRPr="00C907C9">
        <w:rPr>
          <w:szCs w:val="22"/>
        </w:rPr>
        <w:t xml:space="preserve">και το περιορισμένο μερίδιο αερίου </w:t>
      </w:r>
      <w:r w:rsidR="00416772" w:rsidRPr="00C907C9">
        <w:rPr>
          <w:szCs w:val="22"/>
        </w:rPr>
        <w:t xml:space="preserve">συνεισέφεραν </w:t>
      </w:r>
      <w:r w:rsidR="00012E41" w:rsidRPr="00C907C9">
        <w:rPr>
          <w:szCs w:val="22"/>
        </w:rPr>
        <w:t>στ</w:t>
      </w:r>
      <w:r w:rsidR="00DE6530" w:rsidRPr="00C907C9">
        <w:rPr>
          <w:szCs w:val="22"/>
        </w:rPr>
        <w:t xml:space="preserve">ον μετριασμό των ακραίων </w:t>
      </w:r>
      <w:r w:rsidR="00B76C07" w:rsidRPr="00C907C9">
        <w:rPr>
          <w:szCs w:val="22"/>
        </w:rPr>
        <w:t xml:space="preserve">διακυμάνσεων </w:t>
      </w:r>
      <w:r w:rsidR="00DE6530" w:rsidRPr="00C907C9">
        <w:rPr>
          <w:szCs w:val="22"/>
        </w:rPr>
        <w:t>τιμών.</w:t>
      </w:r>
    </w:p>
    <w:p w14:paraId="729B4B80" w14:textId="77777777" w:rsidR="00BD19DE" w:rsidRPr="00C907C9" w:rsidRDefault="00BD19DE" w:rsidP="00BD19DE">
      <w:pPr>
        <w:spacing w:after="0"/>
        <w:rPr>
          <w:szCs w:val="22"/>
        </w:rPr>
      </w:pPr>
    </w:p>
    <w:p w14:paraId="7260EA0D" w14:textId="4051EDA3" w:rsidR="007D00B7" w:rsidRPr="00C907C9" w:rsidRDefault="007D00B7" w:rsidP="00BD19DE">
      <w:pPr>
        <w:pStyle w:val="Caption"/>
        <w:spacing w:after="0" w:line="278" w:lineRule="auto"/>
        <w:rPr>
          <w:szCs w:val="22"/>
        </w:rPr>
      </w:pPr>
      <w:bookmarkStart w:id="6" w:name="_Ref213421003"/>
      <w:r w:rsidRPr="002044C2">
        <w:rPr>
          <w:b/>
          <w:bCs/>
        </w:rPr>
        <w:t xml:space="preserve">Πίνακας </w:t>
      </w:r>
      <w:r w:rsidRPr="002044C2">
        <w:rPr>
          <w:b/>
          <w:bCs/>
        </w:rPr>
        <w:fldChar w:fldCharType="begin"/>
      </w:r>
      <w:r w:rsidRPr="002044C2">
        <w:rPr>
          <w:b/>
          <w:bCs/>
        </w:rPr>
        <w:instrText xml:space="preserve"> SEQ Πίνακας \* ARABIC </w:instrText>
      </w:r>
      <w:r w:rsidRPr="002044C2">
        <w:rPr>
          <w:b/>
          <w:bCs/>
        </w:rPr>
        <w:fldChar w:fldCharType="separate"/>
      </w:r>
      <w:r w:rsidR="009328A6">
        <w:rPr>
          <w:b/>
          <w:bCs/>
          <w:noProof/>
        </w:rPr>
        <w:t>1</w:t>
      </w:r>
      <w:r w:rsidRPr="002044C2">
        <w:rPr>
          <w:b/>
          <w:bCs/>
        </w:rPr>
        <w:fldChar w:fldCharType="end"/>
      </w:r>
      <w:bookmarkEnd w:id="6"/>
      <w:r w:rsidRPr="002044C2">
        <w:t xml:space="preserve">: Μέση, μέγιστη και ελάχιστη τιμή στην </w:t>
      </w:r>
      <w:r w:rsidR="000C4CD8" w:rsidRPr="002044C2">
        <w:t>χονδρεμπορική</w:t>
      </w:r>
      <w:r w:rsidRPr="002044C2">
        <w:t xml:space="preserve"> αγορά </w:t>
      </w:r>
      <w:r w:rsidR="000C4CD8" w:rsidRPr="002044C2">
        <w:t xml:space="preserve">(DAM) </w:t>
      </w:r>
      <w:r w:rsidR="00AA6A0B" w:rsidRPr="002044C2">
        <w:t>σε</w:t>
      </w:r>
      <w:r w:rsidR="00F022C9" w:rsidRPr="002044C2">
        <w:t xml:space="preserve"> €/ΜWh</w:t>
      </w:r>
      <w:r w:rsidR="00AA6A0B" w:rsidRPr="002044C2">
        <w:t xml:space="preserve"> </w:t>
      </w:r>
      <w:r w:rsidRPr="002044C2">
        <w:t>ανά έτος για Ελλάδα και Πορτογαλία για την περίοδο 2018 – 2025. Πηγή: ENTSO-E.</w:t>
      </w:r>
    </w:p>
    <w:tbl>
      <w:tblPr>
        <w:tblStyle w:val="TableGridLight"/>
        <w:tblW w:w="0" w:type="auto"/>
        <w:tblLook w:val="04A0" w:firstRow="1" w:lastRow="0" w:firstColumn="1" w:lastColumn="0" w:noHBand="0" w:noVBand="1"/>
      </w:tblPr>
      <w:tblGrid>
        <w:gridCol w:w="838"/>
        <w:gridCol w:w="1239"/>
        <w:gridCol w:w="1239"/>
        <w:gridCol w:w="1363"/>
        <w:gridCol w:w="1239"/>
        <w:gridCol w:w="1239"/>
        <w:gridCol w:w="1246"/>
      </w:tblGrid>
      <w:tr w:rsidR="00DD0F84" w:rsidRPr="00C907C9" w14:paraId="44D317BE" w14:textId="77777777" w:rsidTr="00B057C6">
        <w:trPr>
          <w:trHeight w:val="332"/>
        </w:trPr>
        <w:tc>
          <w:tcPr>
            <w:tcW w:w="838" w:type="dxa"/>
            <w:tcBorders>
              <w:bottom w:val="single" w:sz="4" w:space="0" w:color="auto"/>
              <w:right w:val="single" w:sz="4" w:space="0" w:color="auto"/>
            </w:tcBorders>
            <w:shd w:val="clear" w:color="auto" w:fill="006838" w:themeFill="text2"/>
          </w:tcPr>
          <w:p w14:paraId="27F62299" w14:textId="365263FD" w:rsidR="00DD0F84" w:rsidRPr="00C907C9" w:rsidRDefault="00DD0F84" w:rsidP="00BD19DE">
            <w:pPr>
              <w:spacing w:after="0" w:line="278" w:lineRule="auto"/>
              <w:rPr>
                <w:color w:val="FFFFFF" w:themeColor="background1"/>
                <w:sz w:val="20"/>
                <w:szCs w:val="20"/>
              </w:rPr>
            </w:pPr>
          </w:p>
        </w:tc>
        <w:tc>
          <w:tcPr>
            <w:tcW w:w="3841" w:type="dxa"/>
            <w:gridSpan w:val="3"/>
            <w:tcBorders>
              <w:left w:val="single" w:sz="4" w:space="0" w:color="auto"/>
              <w:bottom w:val="single" w:sz="4" w:space="0" w:color="auto"/>
              <w:right w:val="double" w:sz="4" w:space="0" w:color="BFBFBF" w:themeColor="background1" w:themeShade="BF"/>
            </w:tcBorders>
            <w:shd w:val="clear" w:color="auto" w:fill="006838" w:themeFill="text2"/>
            <w:vAlign w:val="center"/>
          </w:tcPr>
          <w:p w14:paraId="62682184" w14:textId="57C88B53" w:rsidR="00DD0F84" w:rsidRPr="00C907C9" w:rsidRDefault="00DD0F84" w:rsidP="00BD19DE">
            <w:pPr>
              <w:spacing w:after="0" w:line="278" w:lineRule="auto"/>
              <w:jc w:val="center"/>
              <w:rPr>
                <w:b/>
                <w:bCs/>
                <w:color w:val="FFFFFF" w:themeColor="background1"/>
                <w:sz w:val="20"/>
                <w:szCs w:val="20"/>
              </w:rPr>
            </w:pPr>
            <w:r w:rsidRPr="00C907C9">
              <w:rPr>
                <w:b/>
                <w:bCs/>
                <w:color w:val="FFFFFF" w:themeColor="background1"/>
                <w:sz w:val="20"/>
                <w:szCs w:val="20"/>
              </w:rPr>
              <w:t>Ελλάδα</w:t>
            </w:r>
          </w:p>
        </w:tc>
        <w:tc>
          <w:tcPr>
            <w:tcW w:w="3724" w:type="dxa"/>
            <w:gridSpan w:val="3"/>
            <w:tcBorders>
              <w:left w:val="double" w:sz="4" w:space="0" w:color="BFBFBF" w:themeColor="background1" w:themeShade="BF"/>
              <w:bottom w:val="single" w:sz="4" w:space="0" w:color="auto"/>
              <w:right w:val="single" w:sz="4" w:space="0" w:color="auto"/>
            </w:tcBorders>
            <w:shd w:val="clear" w:color="auto" w:fill="006838" w:themeFill="text2"/>
            <w:vAlign w:val="center"/>
          </w:tcPr>
          <w:p w14:paraId="79622284" w14:textId="5B8EA34A" w:rsidR="00DD0F84" w:rsidRPr="00C907C9" w:rsidRDefault="00DD0F84" w:rsidP="00BD19DE">
            <w:pPr>
              <w:spacing w:after="0" w:line="278" w:lineRule="auto"/>
              <w:jc w:val="center"/>
              <w:rPr>
                <w:b/>
                <w:bCs/>
                <w:color w:val="FFFFFF" w:themeColor="background1"/>
                <w:sz w:val="20"/>
                <w:szCs w:val="20"/>
              </w:rPr>
            </w:pPr>
            <w:r w:rsidRPr="00C907C9">
              <w:rPr>
                <w:b/>
                <w:bCs/>
                <w:color w:val="FFFFFF" w:themeColor="background1"/>
                <w:sz w:val="20"/>
                <w:szCs w:val="20"/>
              </w:rPr>
              <w:t>Πορτογαλία</w:t>
            </w:r>
          </w:p>
        </w:tc>
      </w:tr>
      <w:tr w:rsidR="007D35EB" w:rsidRPr="00C907C9" w14:paraId="69E8BF7E" w14:textId="77777777" w:rsidTr="00B057C6">
        <w:trPr>
          <w:trHeight w:val="567"/>
        </w:trPr>
        <w:tc>
          <w:tcPr>
            <w:tcW w:w="838" w:type="dxa"/>
            <w:tcBorders>
              <w:top w:val="single" w:sz="4" w:space="0" w:color="auto"/>
              <w:left w:val="single" w:sz="4" w:space="0" w:color="auto"/>
              <w:bottom w:val="single" w:sz="4" w:space="0" w:color="auto"/>
              <w:right w:val="single" w:sz="4" w:space="0" w:color="auto"/>
            </w:tcBorders>
            <w:shd w:val="clear" w:color="auto" w:fill="006838" w:themeFill="text2"/>
          </w:tcPr>
          <w:p w14:paraId="71429C2D" w14:textId="7A57A861" w:rsidR="00DD0F84" w:rsidRPr="00C907C9" w:rsidRDefault="00DD0F84" w:rsidP="00BD19DE">
            <w:pPr>
              <w:spacing w:after="0" w:line="278" w:lineRule="auto"/>
              <w:rPr>
                <w:b/>
                <w:bCs/>
                <w:color w:val="FFFFFF" w:themeColor="background1"/>
                <w:sz w:val="20"/>
                <w:szCs w:val="20"/>
              </w:rPr>
            </w:pPr>
            <w:r w:rsidRPr="00C907C9">
              <w:rPr>
                <w:b/>
                <w:bCs/>
                <w:color w:val="FFFFFF" w:themeColor="background1"/>
                <w:sz w:val="20"/>
                <w:szCs w:val="20"/>
              </w:rPr>
              <w:t>Έτος</w:t>
            </w:r>
          </w:p>
        </w:tc>
        <w:tc>
          <w:tcPr>
            <w:tcW w:w="1239" w:type="dxa"/>
            <w:tcBorders>
              <w:top w:val="single" w:sz="4" w:space="0" w:color="auto"/>
              <w:left w:val="single" w:sz="4" w:space="0" w:color="auto"/>
              <w:bottom w:val="single" w:sz="4" w:space="0" w:color="auto"/>
            </w:tcBorders>
            <w:shd w:val="clear" w:color="auto" w:fill="006838" w:themeFill="text2"/>
          </w:tcPr>
          <w:p w14:paraId="236E677B" w14:textId="0D26723D" w:rsidR="00DD0F84" w:rsidRPr="00C907C9" w:rsidRDefault="00DD0F84" w:rsidP="00BD19DE">
            <w:pPr>
              <w:spacing w:after="0" w:line="278" w:lineRule="auto"/>
              <w:jc w:val="center"/>
              <w:rPr>
                <w:b/>
                <w:bCs/>
                <w:color w:val="FFFFFF" w:themeColor="background1"/>
                <w:sz w:val="20"/>
                <w:szCs w:val="20"/>
              </w:rPr>
            </w:pPr>
            <w:r w:rsidRPr="00C907C9">
              <w:rPr>
                <w:b/>
                <w:bCs/>
                <w:color w:val="FFFFFF" w:themeColor="background1"/>
                <w:sz w:val="20"/>
                <w:szCs w:val="20"/>
              </w:rPr>
              <w:t>Μέση Τιμή</w:t>
            </w:r>
          </w:p>
        </w:tc>
        <w:tc>
          <w:tcPr>
            <w:tcW w:w="1239" w:type="dxa"/>
            <w:tcBorders>
              <w:top w:val="single" w:sz="4" w:space="0" w:color="auto"/>
              <w:bottom w:val="single" w:sz="4" w:space="0" w:color="auto"/>
            </w:tcBorders>
            <w:shd w:val="clear" w:color="auto" w:fill="006838" w:themeFill="text2"/>
          </w:tcPr>
          <w:p w14:paraId="5D849A58" w14:textId="6F8D2FA3" w:rsidR="00DD0F84" w:rsidRPr="00C907C9" w:rsidRDefault="00DD0F84" w:rsidP="00BD19DE">
            <w:pPr>
              <w:spacing w:after="0" w:line="278" w:lineRule="auto"/>
              <w:jc w:val="center"/>
              <w:rPr>
                <w:b/>
                <w:bCs/>
                <w:color w:val="FFFFFF" w:themeColor="background1"/>
                <w:sz w:val="20"/>
                <w:szCs w:val="20"/>
              </w:rPr>
            </w:pPr>
            <w:r w:rsidRPr="00C907C9">
              <w:rPr>
                <w:b/>
                <w:bCs/>
                <w:color w:val="FFFFFF" w:themeColor="background1"/>
                <w:sz w:val="20"/>
                <w:szCs w:val="20"/>
              </w:rPr>
              <w:t>Μέγιστη Τιμή</w:t>
            </w:r>
          </w:p>
        </w:tc>
        <w:tc>
          <w:tcPr>
            <w:tcW w:w="1363" w:type="dxa"/>
            <w:tcBorders>
              <w:top w:val="single" w:sz="4" w:space="0" w:color="auto"/>
              <w:bottom w:val="single" w:sz="4" w:space="0" w:color="auto"/>
              <w:right w:val="double" w:sz="4" w:space="0" w:color="BFBFBF" w:themeColor="background1" w:themeShade="BF"/>
            </w:tcBorders>
            <w:shd w:val="clear" w:color="auto" w:fill="006838" w:themeFill="text2"/>
          </w:tcPr>
          <w:p w14:paraId="432218CE" w14:textId="4DFD23B3" w:rsidR="00DD0F84" w:rsidRPr="00C907C9" w:rsidRDefault="00DD0F84" w:rsidP="00BD19DE">
            <w:pPr>
              <w:spacing w:after="0" w:line="278" w:lineRule="auto"/>
              <w:jc w:val="center"/>
              <w:rPr>
                <w:b/>
                <w:bCs/>
                <w:color w:val="FFFFFF" w:themeColor="background1"/>
                <w:sz w:val="20"/>
                <w:szCs w:val="20"/>
              </w:rPr>
            </w:pPr>
            <w:r w:rsidRPr="00C907C9">
              <w:rPr>
                <w:b/>
                <w:bCs/>
                <w:color w:val="FFFFFF" w:themeColor="background1"/>
                <w:sz w:val="20"/>
                <w:szCs w:val="20"/>
              </w:rPr>
              <w:t>Ελάχιστη Τιμή</w:t>
            </w:r>
          </w:p>
        </w:tc>
        <w:tc>
          <w:tcPr>
            <w:tcW w:w="1239" w:type="dxa"/>
            <w:tcBorders>
              <w:top w:val="single" w:sz="4" w:space="0" w:color="auto"/>
              <w:left w:val="double" w:sz="4" w:space="0" w:color="BFBFBF" w:themeColor="background1" w:themeShade="BF"/>
              <w:bottom w:val="single" w:sz="4" w:space="0" w:color="auto"/>
            </w:tcBorders>
            <w:shd w:val="clear" w:color="auto" w:fill="006838" w:themeFill="text2"/>
          </w:tcPr>
          <w:p w14:paraId="0E1E73D3" w14:textId="303B643F" w:rsidR="00DD0F84" w:rsidRPr="00C907C9" w:rsidRDefault="00DD0F84" w:rsidP="00BD19DE">
            <w:pPr>
              <w:spacing w:after="0" w:line="278" w:lineRule="auto"/>
              <w:jc w:val="center"/>
              <w:rPr>
                <w:b/>
                <w:bCs/>
                <w:color w:val="FFFFFF" w:themeColor="background1"/>
                <w:sz w:val="20"/>
                <w:szCs w:val="20"/>
              </w:rPr>
            </w:pPr>
            <w:r w:rsidRPr="00C907C9">
              <w:rPr>
                <w:b/>
                <w:bCs/>
                <w:color w:val="FFFFFF" w:themeColor="background1"/>
                <w:sz w:val="20"/>
                <w:szCs w:val="20"/>
              </w:rPr>
              <w:t>Μέση Τιμή</w:t>
            </w:r>
          </w:p>
        </w:tc>
        <w:tc>
          <w:tcPr>
            <w:tcW w:w="1239" w:type="dxa"/>
            <w:tcBorders>
              <w:top w:val="single" w:sz="4" w:space="0" w:color="auto"/>
              <w:bottom w:val="single" w:sz="4" w:space="0" w:color="auto"/>
            </w:tcBorders>
            <w:shd w:val="clear" w:color="auto" w:fill="006838" w:themeFill="text2"/>
          </w:tcPr>
          <w:p w14:paraId="414E2917" w14:textId="71818FAA" w:rsidR="00DD0F84" w:rsidRPr="00C907C9" w:rsidRDefault="00DD0F84" w:rsidP="00BD19DE">
            <w:pPr>
              <w:spacing w:after="0" w:line="278" w:lineRule="auto"/>
              <w:jc w:val="center"/>
              <w:rPr>
                <w:b/>
                <w:bCs/>
                <w:color w:val="FFFFFF" w:themeColor="background1"/>
                <w:sz w:val="20"/>
                <w:szCs w:val="20"/>
              </w:rPr>
            </w:pPr>
            <w:r w:rsidRPr="00C907C9">
              <w:rPr>
                <w:b/>
                <w:bCs/>
                <w:color w:val="FFFFFF" w:themeColor="background1"/>
                <w:sz w:val="20"/>
                <w:szCs w:val="20"/>
              </w:rPr>
              <w:t>Μέγιστη Τιμή</w:t>
            </w:r>
          </w:p>
        </w:tc>
        <w:tc>
          <w:tcPr>
            <w:tcW w:w="1246" w:type="dxa"/>
            <w:tcBorders>
              <w:top w:val="single" w:sz="4" w:space="0" w:color="auto"/>
              <w:bottom w:val="single" w:sz="4" w:space="0" w:color="auto"/>
              <w:right w:val="single" w:sz="4" w:space="0" w:color="auto"/>
            </w:tcBorders>
            <w:shd w:val="clear" w:color="auto" w:fill="006838" w:themeFill="text2"/>
          </w:tcPr>
          <w:p w14:paraId="6E8B1D1C" w14:textId="1271513D" w:rsidR="00DD0F84" w:rsidRPr="00C907C9" w:rsidRDefault="00DD0F84" w:rsidP="00BD19DE">
            <w:pPr>
              <w:spacing w:after="0" w:line="278" w:lineRule="auto"/>
              <w:jc w:val="center"/>
              <w:rPr>
                <w:b/>
                <w:bCs/>
                <w:color w:val="FFFFFF" w:themeColor="background1"/>
                <w:sz w:val="20"/>
                <w:szCs w:val="20"/>
              </w:rPr>
            </w:pPr>
            <w:r w:rsidRPr="00C907C9">
              <w:rPr>
                <w:b/>
                <w:bCs/>
                <w:color w:val="FFFFFF" w:themeColor="background1"/>
                <w:sz w:val="20"/>
                <w:szCs w:val="20"/>
              </w:rPr>
              <w:t>Ελάχιστη Τιμή</w:t>
            </w:r>
          </w:p>
        </w:tc>
      </w:tr>
      <w:tr w:rsidR="007D35EB" w:rsidRPr="00C907C9" w14:paraId="7DF65499" w14:textId="77777777" w:rsidTr="00B057C6">
        <w:trPr>
          <w:trHeight w:val="332"/>
        </w:trPr>
        <w:tc>
          <w:tcPr>
            <w:tcW w:w="838" w:type="dxa"/>
            <w:tcBorders>
              <w:top w:val="single" w:sz="4" w:space="0" w:color="auto"/>
              <w:left w:val="single" w:sz="4" w:space="0" w:color="auto"/>
              <w:right w:val="single" w:sz="4" w:space="0" w:color="auto"/>
            </w:tcBorders>
          </w:tcPr>
          <w:p w14:paraId="21073C96" w14:textId="02286632" w:rsidR="002E074C" w:rsidRPr="00C907C9" w:rsidRDefault="002E074C" w:rsidP="00BD19DE">
            <w:pPr>
              <w:spacing w:after="0" w:line="278" w:lineRule="auto"/>
              <w:rPr>
                <w:b/>
                <w:bCs/>
                <w:sz w:val="20"/>
                <w:szCs w:val="20"/>
              </w:rPr>
            </w:pPr>
            <w:r w:rsidRPr="00C907C9">
              <w:rPr>
                <w:b/>
                <w:bCs/>
                <w:sz w:val="20"/>
                <w:szCs w:val="20"/>
              </w:rPr>
              <w:t>2018</w:t>
            </w:r>
          </w:p>
        </w:tc>
        <w:tc>
          <w:tcPr>
            <w:tcW w:w="1239" w:type="dxa"/>
            <w:tcBorders>
              <w:top w:val="single" w:sz="4" w:space="0" w:color="auto"/>
              <w:left w:val="single" w:sz="4" w:space="0" w:color="auto"/>
            </w:tcBorders>
          </w:tcPr>
          <w:p w14:paraId="2DAC0AFA" w14:textId="703BBB8C" w:rsidR="002E074C" w:rsidRPr="00C907C9" w:rsidRDefault="002E074C" w:rsidP="00BD19DE">
            <w:pPr>
              <w:spacing w:after="0" w:line="278" w:lineRule="auto"/>
              <w:jc w:val="center"/>
              <w:rPr>
                <w:sz w:val="20"/>
                <w:szCs w:val="20"/>
              </w:rPr>
            </w:pPr>
            <w:r w:rsidRPr="00C907C9">
              <w:rPr>
                <w:sz w:val="20"/>
                <w:szCs w:val="20"/>
              </w:rPr>
              <w:t>60.</w:t>
            </w:r>
            <w:r w:rsidR="00F63E59">
              <w:rPr>
                <w:sz w:val="20"/>
                <w:szCs w:val="20"/>
              </w:rPr>
              <w:t>4</w:t>
            </w:r>
          </w:p>
        </w:tc>
        <w:tc>
          <w:tcPr>
            <w:tcW w:w="1239" w:type="dxa"/>
            <w:tcBorders>
              <w:top w:val="single" w:sz="4" w:space="0" w:color="auto"/>
            </w:tcBorders>
          </w:tcPr>
          <w:p w14:paraId="3C2DF369" w14:textId="0A180FA4" w:rsidR="002E074C" w:rsidRPr="00C907C9" w:rsidRDefault="002E074C" w:rsidP="00BD19DE">
            <w:pPr>
              <w:spacing w:after="0" w:line="278" w:lineRule="auto"/>
              <w:jc w:val="center"/>
              <w:rPr>
                <w:sz w:val="20"/>
                <w:szCs w:val="20"/>
              </w:rPr>
            </w:pPr>
            <w:r w:rsidRPr="00C907C9">
              <w:rPr>
                <w:sz w:val="20"/>
                <w:szCs w:val="20"/>
              </w:rPr>
              <w:t>145</w:t>
            </w:r>
          </w:p>
        </w:tc>
        <w:tc>
          <w:tcPr>
            <w:tcW w:w="1363" w:type="dxa"/>
            <w:tcBorders>
              <w:top w:val="single" w:sz="4" w:space="0" w:color="auto"/>
              <w:right w:val="double" w:sz="4" w:space="0" w:color="BFBFBF" w:themeColor="background1" w:themeShade="BF"/>
            </w:tcBorders>
          </w:tcPr>
          <w:p w14:paraId="49DFCDC6" w14:textId="581CA9B8" w:rsidR="002E074C" w:rsidRPr="00C907C9" w:rsidRDefault="002E074C" w:rsidP="00BD19DE">
            <w:pPr>
              <w:spacing w:after="0" w:line="278" w:lineRule="auto"/>
              <w:jc w:val="center"/>
              <w:rPr>
                <w:sz w:val="20"/>
                <w:szCs w:val="20"/>
              </w:rPr>
            </w:pPr>
            <w:r w:rsidRPr="00C907C9">
              <w:rPr>
                <w:sz w:val="20"/>
                <w:szCs w:val="20"/>
              </w:rPr>
              <w:t>0</w:t>
            </w:r>
          </w:p>
        </w:tc>
        <w:tc>
          <w:tcPr>
            <w:tcW w:w="1239" w:type="dxa"/>
            <w:tcBorders>
              <w:top w:val="single" w:sz="4" w:space="0" w:color="auto"/>
              <w:left w:val="double" w:sz="4" w:space="0" w:color="BFBFBF" w:themeColor="background1" w:themeShade="BF"/>
            </w:tcBorders>
          </w:tcPr>
          <w:p w14:paraId="29E5FB79" w14:textId="3E96D861" w:rsidR="002E074C" w:rsidRPr="00C907C9" w:rsidRDefault="002E074C" w:rsidP="00BD19DE">
            <w:pPr>
              <w:spacing w:after="0" w:line="278" w:lineRule="auto"/>
              <w:jc w:val="center"/>
              <w:rPr>
                <w:sz w:val="20"/>
                <w:szCs w:val="20"/>
              </w:rPr>
            </w:pPr>
            <w:r w:rsidRPr="00C907C9">
              <w:rPr>
                <w:sz w:val="20"/>
                <w:szCs w:val="20"/>
              </w:rPr>
              <w:t>57.</w:t>
            </w:r>
            <w:r w:rsidR="00F63E59">
              <w:rPr>
                <w:sz w:val="20"/>
                <w:szCs w:val="20"/>
              </w:rPr>
              <w:t>5</w:t>
            </w:r>
          </w:p>
        </w:tc>
        <w:tc>
          <w:tcPr>
            <w:tcW w:w="1239" w:type="dxa"/>
            <w:tcBorders>
              <w:top w:val="single" w:sz="4" w:space="0" w:color="auto"/>
            </w:tcBorders>
          </w:tcPr>
          <w:p w14:paraId="76ED22ED" w14:textId="3BF7D815" w:rsidR="002E074C" w:rsidRPr="00C907C9" w:rsidRDefault="002E074C" w:rsidP="00BD19DE">
            <w:pPr>
              <w:spacing w:after="0" w:line="278" w:lineRule="auto"/>
              <w:jc w:val="center"/>
              <w:rPr>
                <w:sz w:val="20"/>
                <w:szCs w:val="20"/>
              </w:rPr>
            </w:pPr>
            <w:r w:rsidRPr="00C907C9">
              <w:rPr>
                <w:sz w:val="20"/>
                <w:szCs w:val="20"/>
              </w:rPr>
              <w:t>84.1</w:t>
            </w:r>
          </w:p>
        </w:tc>
        <w:tc>
          <w:tcPr>
            <w:tcW w:w="1246" w:type="dxa"/>
            <w:tcBorders>
              <w:top w:val="single" w:sz="4" w:space="0" w:color="auto"/>
              <w:right w:val="single" w:sz="4" w:space="0" w:color="auto"/>
            </w:tcBorders>
          </w:tcPr>
          <w:p w14:paraId="0261D35D" w14:textId="3840498E" w:rsidR="002E074C" w:rsidRPr="00C907C9" w:rsidRDefault="002E074C" w:rsidP="00BD19DE">
            <w:pPr>
              <w:spacing w:after="0" w:line="278" w:lineRule="auto"/>
              <w:jc w:val="center"/>
              <w:rPr>
                <w:sz w:val="20"/>
                <w:szCs w:val="20"/>
              </w:rPr>
            </w:pPr>
            <w:r w:rsidRPr="00C907C9">
              <w:rPr>
                <w:sz w:val="20"/>
                <w:szCs w:val="20"/>
              </w:rPr>
              <w:t>2.3</w:t>
            </w:r>
          </w:p>
        </w:tc>
      </w:tr>
      <w:tr w:rsidR="00A138C4" w:rsidRPr="00C907C9" w14:paraId="509ABD08" w14:textId="77777777" w:rsidTr="00B057C6">
        <w:trPr>
          <w:trHeight w:val="342"/>
        </w:trPr>
        <w:tc>
          <w:tcPr>
            <w:tcW w:w="838" w:type="dxa"/>
            <w:tcBorders>
              <w:left w:val="single" w:sz="4" w:space="0" w:color="auto"/>
              <w:right w:val="single" w:sz="4" w:space="0" w:color="auto"/>
            </w:tcBorders>
          </w:tcPr>
          <w:p w14:paraId="6E186C2A" w14:textId="7D84C9F8" w:rsidR="002E074C" w:rsidRPr="00C907C9" w:rsidRDefault="002E074C" w:rsidP="00BD19DE">
            <w:pPr>
              <w:spacing w:after="0" w:line="278" w:lineRule="auto"/>
              <w:rPr>
                <w:b/>
                <w:bCs/>
                <w:sz w:val="20"/>
                <w:szCs w:val="20"/>
              </w:rPr>
            </w:pPr>
            <w:r w:rsidRPr="00C907C9">
              <w:rPr>
                <w:b/>
                <w:bCs/>
                <w:sz w:val="20"/>
                <w:szCs w:val="20"/>
              </w:rPr>
              <w:t>2019</w:t>
            </w:r>
          </w:p>
        </w:tc>
        <w:tc>
          <w:tcPr>
            <w:tcW w:w="1239" w:type="dxa"/>
            <w:tcBorders>
              <w:left w:val="single" w:sz="4" w:space="0" w:color="auto"/>
            </w:tcBorders>
          </w:tcPr>
          <w:p w14:paraId="39FA7E78" w14:textId="2E29651D" w:rsidR="002E074C" w:rsidRPr="00C907C9" w:rsidRDefault="002E074C" w:rsidP="00BD19DE">
            <w:pPr>
              <w:spacing w:after="0" w:line="278" w:lineRule="auto"/>
              <w:jc w:val="center"/>
              <w:rPr>
                <w:sz w:val="20"/>
                <w:szCs w:val="20"/>
              </w:rPr>
            </w:pPr>
            <w:r w:rsidRPr="00C907C9">
              <w:rPr>
                <w:sz w:val="20"/>
                <w:szCs w:val="20"/>
              </w:rPr>
              <w:t>63.8</w:t>
            </w:r>
          </w:p>
        </w:tc>
        <w:tc>
          <w:tcPr>
            <w:tcW w:w="1239" w:type="dxa"/>
          </w:tcPr>
          <w:p w14:paraId="59D29B22" w14:textId="683ACBB3" w:rsidR="002E074C" w:rsidRPr="00C907C9" w:rsidRDefault="002E074C" w:rsidP="00BD19DE">
            <w:pPr>
              <w:spacing w:after="0" w:line="278" w:lineRule="auto"/>
              <w:jc w:val="center"/>
              <w:rPr>
                <w:sz w:val="20"/>
                <w:szCs w:val="20"/>
              </w:rPr>
            </w:pPr>
            <w:r w:rsidRPr="00C907C9">
              <w:rPr>
                <w:sz w:val="20"/>
                <w:szCs w:val="20"/>
              </w:rPr>
              <w:t>145</w:t>
            </w:r>
          </w:p>
        </w:tc>
        <w:tc>
          <w:tcPr>
            <w:tcW w:w="1363" w:type="dxa"/>
            <w:tcBorders>
              <w:right w:val="double" w:sz="4" w:space="0" w:color="BFBFBF" w:themeColor="background1" w:themeShade="BF"/>
            </w:tcBorders>
          </w:tcPr>
          <w:p w14:paraId="7F964383" w14:textId="32A581AC" w:rsidR="002E074C" w:rsidRPr="00C907C9" w:rsidRDefault="002E074C" w:rsidP="00BD19DE">
            <w:pPr>
              <w:spacing w:after="0" w:line="278" w:lineRule="auto"/>
              <w:jc w:val="center"/>
              <w:rPr>
                <w:sz w:val="20"/>
                <w:szCs w:val="20"/>
              </w:rPr>
            </w:pPr>
            <w:r w:rsidRPr="00C907C9">
              <w:rPr>
                <w:sz w:val="20"/>
                <w:szCs w:val="20"/>
              </w:rPr>
              <w:t>0</w:t>
            </w:r>
          </w:p>
        </w:tc>
        <w:tc>
          <w:tcPr>
            <w:tcW w:w="1239" w:type="dxa"/>
            <w:tcBorders>
              <w:left w:val="double" w:sz="4" w:space="0" w:color="BFBFBF" w:themeColor="background1" w:themeShade="BF"/>
            </w:tcBorders>
          </w:tcPr>
          <w:p w14:paraId="42A8E277" w14:textId="0518C7F4" w:rsidR="002E074C" w:rsidRPr="00C907C9" w:rsidRDefault="002E074C" w:rsidP="00BD19DE">
            <w:pPr>
              <w:spacing w:after="0" w:line="278" w:lineRule="auto"/>
              <w:jc w:val="center"/>
              <w:rPr>
                <w:sz w:val="20"/>
                <w:szCs w:val="20"/>
              </w:rPr>
            </w:pPr>
            <w:r w:rsidRPr="00C907C9">
              <w:rPr>
                <w:sz w:val="20"/>
                <w:szCs w:val="20"/>
              </w:rPr>
              <w:t>47.</w:t>
            </w:r>
            <w:r w:rsidR="00F63E59">
              <w:rPr>
                <w:sz w:val="20"/>
                <w:szCs w:val="20"/>
              </w:rPr>
              <w:t>9</w:t>
            </w:r>
          </w:p>
        </w:tc>
        <w:tc>
          <w:tcPr>
            <w:tcW w:w="1239" w:type="dxa"/>
          </w:tcPr>
          <w:p w14:paraId="6404BC08" w14:textId="22BB9AE2" w:rsidR="002E074C" w:rsidRPr="00C907C9" w:rsidRDefault="002E074C" w:rsidP="00BD19DE">
            <w:pPr>
              <w:spacing w:after="0" w:line="278" w:lineRule="auto"/>
              <w:jc w:val="center"/>
              <w:rPr>
                <w:sz w:val="20"/>
                <w:szCs w:val="20"/>
              </w:rPr>
            </w:pPr>
            <w:r w:rsidRPr="00C907C9">
              <w:rPr>
                <w:sz w:val="20"/>
                <w:szCs w:val="20"/>
              </w:rPr>
              <w:t>74.7</w:t>
            </w:r>
          </w:p>
        </w:tc>
        <w:tc>
          <w:tcPr>
            <w:tcW w:w="1246" w:type="dxa"/>
            <w:tcBorders>
              <w:right w:val="single" w:sz="4" w:space="0" w:color="auto"/>
            </w:tcBorders>
          </w:tcPr>
          <w:p w14:paraId="24AE5FB7" w14:textId="12318F45" w:rsidR="002E074C" w:rsidRPr="00C907C9" w:rsidRDefault="002E074C" w:rsidP="00BD19DE">
            <w:pPr>
              <w:spacing w:after="0" w:line="278" w:lineRule="auto"/>
              <w:jc w:val="center"/>
              <w:rPr>
                <w:sz w:val="20"/>
                <w:szCs w:val="20"/>
              </w:rPr>
            </w:pPr>
            <w:r w:rsidRPr="00C907C9">
              <w:rPr>
                <w:sz w:val="20"/>
                <w:szCs w:val="20"/>
              </w:rPr>
              <w:t>0</w:t>
            </w:r>
          </w:p>
        </w:tc>
      </w:tr>
      <w:tr w:rsidR="00A138C4" w:rsidRPr="00C907C9" w14:paraId="3E11A507" w14:textId="77777777" w:rsidTr="00B057C6">
        <w:trPr>
          <w:trHeight w:val="332"/>
        </w:trPr>
        <w:tc>
          <w:tcPr>
            <w:tcW w:w="838" w:type="dxa"/>
            <w:tcBorders>
              <w:left w:val="single" w:sz="4" w:space="0" w:color="auto"/>
              <w:right w:val="single" w:sz="4" w:space="0" w:color="auto"/>
            </w:tcBorders>
          </w:tcPr>
          <w:p w14:paraId="5B52B5AB" w14:textId="28014654" w:rsidR="002E074C" w:rsidRPr="00C907C9" w:rsidRDefault="002E074C" w:rsidP="00BD19DE">
            <w:pPr>
              <w:spacing w:after="0" w:line="278" w:lineRule="auto"/>
              <w:rPr>
                <w:b/>
                <w:bCs/>
                <w:sz w:val="20"/>
                <w:szCs w:val="20"/>
              </w:rPr>
            </w:pPr>
            <w:r w:rsidRPr="00C907C9">
              <w:rPr>
                <w:b/>
                <w:bCs/>
                <w:sz w:val="20"/>
                <w:szCs w:val="20"/>
              </w:rPr>
              <w:t>2020</w:t>
            </w:r>
          </w:p>
        </w:tc>
        <w:tc>
          <w:tcPr>
            <w:tcW w:w="1239" w:type="dxa"/>
            <w:tcBorders>
              <w:left w:val="single" w:sz="4" w:space="0" w:color="auto"/>
            </w:tcBorders>
          </w:tcPr>
          <w:p w14:paraId="0F105231" w14:textId="112EEFDE" w:rsidR="002E074C" w:rsidRPr="00C907C9" w:rsidRDefault="002E074C" w:rsidP="00BD19DE">
            <w:pPr>
              <w:spacing w:after="0" w:line="278" w:lineRule="auto"/>
              <w:jc w:val="center"/>
              <w:rPr>
                <w:sz w:val="20"/>
                <w:szCs w:val="20"/>
              </w:rPr>
            </w:pPr>
            <w:r w:rsidRPr="00C907C9">
              <w:rPr>
                <w:sz w:val="20"/>
                <w:szCs w:val="20"/>
              </w:rPr>
              <w:t>45.1</w:t>
            </w:r>
          </w:p>
        </w:tc>
        <w:tc>
          <w:tcPr>
            <w:tcW w:w="1239" w:type="dxa"/>
          </w:tcPr>
          <w:p w14:paraId="002DD8F4" w14:textId="12520244" w:rsidR="002E074C" w:rsidRPr="00C907C9" w:rsidRDefault="002E074C" w:rsidP="00BD19DE">
            <w:pPr>
              <w:spacing w:after="0" w:line="278" w:lineRule="auto"/>
              <w:jc w:val="center"/>
              <w:rPr>
                <w:sz w:val="20"/>
                <w:szCs w:val="20"/>
              </w:rPr>
            </w:pPr>
            <w:r w:rsidRPr="00C907C9">
              <w:rPr>
                <w:sz w:val="20"/>
                <w:szCs w:val="20"/>
              </w:rPr>
              <w:t>150.</w:t>
            </w:r>
            <w:r w:rsidR="00F63E59">
              <w:rPr>
                <w:sz w:val="20"/>
                <w:szCs w:val="20"/>
              </w:rPr>
              <w:t>1</w:t>
            </w:r>
          </w:p>
        </w:tc>
        <w:tc>
          <w:tcPr>
            <w:tcW w:w="1363" w:type="dxa"/>
            <w:tcBorders>
              <w:right w:val="double" w:sz="4" w:space="0" w:color="BFBFBF" w:themeColor="background1" w:themeShade="BF"/>
            </w:tcBorders>
          </w:tcPr>
          <w:p w14:paraId="79E8B020" w14:textId="6F2DA705" w:rsidR="002E074C" w:rsidRPr="00C907C9" w:rsidRDefault="00F63E59" w:rsidP="00BD19DE">
            <w:pPr>
              <w:spacing w:after="0" w:line="278" w:lineRule="auto"/>
              <w:jc w:val="center"/>
              <w:rPr>
                <w:sz w:val="20"/>
                <w:szCs w:val="20"/>
              </w:rPr>
            </w:pPr>
            <w:r>
              <w:rPr>
                <w:sz w:val="20"/>
                <w:szCs w:val="20"/>
              </w:rPr>
              <w:t>0</w:t>
            </w:r>
          </w:p>
        </w:tc>
        <w:tc>
          <w:tcPr>
            <w:tcW w:w="1239" w:type="dxa"/>
            <w:tcBorders>
              <w:left w:val="double" w:sz="4" w:space="0" w:color="BFBFBF" w:themeColor="background1" w:themeShade="BF"/>
            </w:tcBorders>
          </w:tcPr>
          <w:p w14:paraId="6EB9B143" w14:textId="0D348418" w:rsidR="002E074C" w:rsidRPr="00C907C9" w:rsidRDefault="002E074C" w:rsidP="00BD19DE">
            <w:pPr>
              <w:spacing w:after="0" w:line="278" w:lineRule="auto"/>
              <w:jc w:val="center"/>
              <w:rPr>
                <w:sz w:val="20"/>
                <w:szCs w:val="20"/>
              </w:rPr>
            </w:pPr>
            <w:r w:rsidRPr="00C907C9">
              <w:rPr>
                <w:sz w:val="20"/>
                <w:szCs w:val="20"/>
              </w:rPr>
              <w:t>3</w:t>
            </w:r>
            <w:r w:rsidR="00837FDC">
              <w:rPr>
                <w:sz w:val="20"/>
                <w:szCs w:val="20"/>
              </w:rPr>
              <w:t>4</w:t>
            </w:r>
          </w:p>
        </w:tc>
        <w:tc>
          <w:tcPr>
            <w:tcW w:w="1239" w:type="dxa"/>
          </w:tcPr>
          <w:p w14:paraId="64D2464F" w14:textId="08D5A37B" w:rsidR="002E074C" w:rsidRPr="00C907C9" w:rsidRDefault="002E074C" w:rsidP="00BD19DE">
            <w:pPr>
              <w:spacing w:after="0" w:line="278" w:lineRule="auto"/>
              <w:jc w:val="center"/>
              <w:rPr>
                <w:sz w:val="20"/>
                <w:szCs w:val="20"/>
              </w:rPr>
            </w:pPr>
            <w:r w:rsidRPr="00C907C9">
              <w:rPr>
                <w:sz w:val="20"/>
                <w:szCs w:val="20"/>
              </w:rPr>
              <w:t>68.9</w:t>
            </w:r>
          </w:p>
        </w:tc>
        <w:tc>
          <w:tcPr>
            <w:tcW w:w="1246" w:type="dxa"/>
            <w:tcBorders>
              <w:right w:val="single" w:sz="4" w:space="0" w:color="auto"/>
            </w:tcBorders>
          </w:tcPr>
          <w:p w14:paraId="71E01EFC" w14:textId="32BC3A6D" w:rsidR="002E074C" w:rsidRPr="00C907C9" w:rsidRDefault="002E074C" w:rsidP="00BD19DE">
            <w:pPr>
              <w:spacing w:after="0" w:line="278" w:lineRule="auto"/>
              <w:jc w:val="center"/>
              <w:rPr>
                <w:sz w:val="20"/>
                <w:szCs w:val="20"/>
              </w:rPr>
            </w:pPr>
            <w:r w:rsidRPr="00C907C9">
              <w:rPr>
                <w:sz w:val="20"/>
                <w:szCs w:val="20"/>
              </w:rPr>
              <w:t>1</w:t>
            </w:r>
          </w:p>
        </w:tc>
      </w:tr>
      <w:tr w:rsidR="008F7D7F" w:rsidRPr="00C907C9" w14:paraId="6AC8EEA6" w14:textId="77777777" w:rsidTr="00B057C6">
        <w:trPr>
          <w:trHeight w:val="342"/>
        </w:trPr>
        <w:tc>
          <w:tcPr>
            <w:tcW w:w="838" w:type="dxa"/>
            <w:tcBorders>
              <w:left w:val="single" w:sz="4" w:space="0" w:color="auto"/>
              <w:right w:val="single" w:sz="4" w:space="0" w:color="auto"/>
            </w:tcBorders>
          </w:tcPr>
          <w:p w14:paraId="462C43DC" w14:textId="70520A24" w:rsidR="002E074C" w:rsidRPr="00C907C9" w:rsidRDefault="002E074C" w:rsidP="00BD19DE">
            <w:pPr>
              <w:spacing w:after="0" w:line="278" w:lineRule="auto"/>
              <w:rPr>
                <w:b/>
                <w:bCs/>
                <w:sz w:val="20"/>
                <w:szCs w:val="20"/>
              </w:rPr>
            </w:pPr>
            <w:r w:rsidRPr="00C907C9">
              <w:rPr>
                <w:b/>
                <w:bCs/>
                <w:sz w:val="20"/>
                <w:szCs w:val="20"/>
              </w:rPr>
              <w:t>2021</w:t>
            </w:r>
          </w:p>
        </w:tc>
        <w:tc>
          <w:tcPr>
            <w:tcW w:w="1239" w:type="dxa"/>
            <w:tcBorders>
              <w:left w:val="single" w:sz="4" w:space="0" w:color="auto"/>
            </w:tcBorders>
          </w:tcPr>
          <w:p w14:paraId="2B34361A" w14:textId="7A1A39CA" w:rsidR="002E074C" w:rsidRPr="00C907C9" w:rsidRDefault="002E074C" w:rsidP="00BD19DE">
            <w:pPr>
              <w:spacing w:after="0" w:line="278" w:lineRule="auto"/>
              <w:jc w:val="center"/>
              <w:rPr>
                <w:sz w:val="20"/>
                <w:szCs w:val="20"/>
              </w:rPr>
            </w:pPr>
            <w:r w:rsidRPr="00C907C9">
              <w:rPr>
                <w:sz w:val="20"/>
                <w:szCs w:val="20"/>
              </w:rPr>
              <w:t>116.4</w:t>
            </w:r>
          </w:p>
        </w:tc>
        <w:tc>
          <w:tcPr>
            <w:tcW w:w="1239" w:type="dxa"/>
          </w:tcPr>
          <w:p w14:paraId="0D0C3B7F" w14:textId="36D9E74E" w:rsidR="002E074C" w:rsidRPr="00C907C9" w:rsidRDefault="002E074C" w:rsidP="00BD19DE">
            <w:pPr>
              <w:spacing w:after="0" w:line="278" w:lineRule="auto"/>
              <w:jc w:val="center"/>
              <w:rPr>
                <w:sz w:val="20"/>
                <w:szCs w:val="20"/>
              </w:rPr>
            </w:pPr>
            <w:r w:rsidRPr="00C907C9">
              <w:rPr>
                <w:sz w:val="20"/>
                <w:szCs w:val="20"/>
              </w:rPr>
              <w:t>542.5</w:t>
            </w:r>
          </w:p>
        </w:tc>
        <w:tc>
          <w:tcPr>
            <w:tcW w:w="1363" w:type="dxa"/>
            <w:tcBorders>
              <w:right w:val="double" w:sz="4" w:space="0" w:color="BFBFBF" w:themeColor="background1" w:themeShade="BF"/>
            </w:tcBorders>
          </w:tcPr>
          <w:p w14:paraId="29532585" w14:textId="5B28048D" w:rsidR="002E074C" w:rsidRPr="00C907C9" w:rsidRDefault="00F63E59" w:rsidP="00BD19DE">
            <w:pPr>
              <w:spacing w:after="0" w:line="278" w:lineRule="auto"/>
              <w:jc w:val="center"/>
              <w:rPr>
                <w:sz w:val="20"/>
                <w:szCs w:val="20"/>
              </w:rPr>
            </w:pPr>
            <w:r>
              <w:rPr>
                <w:sz w:val="20"/>
                <w:szCs w:val="20"/>
              </w:rPr>
              <w:t>0</w:t>
            </w:r>
          </w:p>
        </w:tc>
        <w:tc>
          <w:tcPr>
            <w:tcW w:w="1239" w:type="dxa"/>
            <w:tcBorders>
              <w:left w:val="double" w:sz="4" w:space="0" w:color="BFBFBF" w:themeColor="background1" w:themeShade="BF"/>
            </w:tcBorders>
          </w:tcPr>
          <w:p w14:paraId="75D32380" w14:textId="29436CF7" w:rsidR="002E074C" w:rsidRPr="00C907C9" w:rsidRDefault="002E074C" w:rsidP="00BD19DE">
            <w:pPr>
              <w:spacing w:after="0" w:line="278" w:lineRule="auto"/>
              <w:jc w:val="center"/>
              <w:rPr>
                <w:sz w:val="20"/>
                <w:szCs w:val="20"/>
              </w:rPr>
            </w:pPr>
            <w:r w:rsidRPr="00C907C9">
              <w:rPr>
                <w:sz w:val="20"/>
                <w:szCs w:val="20"/>
              </w:rPr>
              <w:t>112</w:t>
            </w:r>
          </w:p>
        </w:tc>
        <w:tc>
          <w:tcPr>
            <w:tcW w:w="1239" w:type="dxa"/>
          </w:tcPr>
          <w:p w14:paraId="4005CA94" w14:textId="3783FCE4" w:rsidR="002E074C" w:rsidRPr="00C907C9" w:rsidRDefault="002E074C" w:rsidP="00BD19DE">
            <w:pPr>
              <w:spacing w:after="0" w:line="278" w:lineRule="auto"/>
              <w:jc w:val="center"/>
              <w:rPr>
                <w:sz w:val="20"/>
                <w:szCs w:val="20"/>
              </w:rPr>
            </w:pPr>
            <w:r w:rsidRPr="00C907C9">
              <w:rPr>
                <w:sz w:val="20"/>
                <w:szCs w:val="20"/>
              </w:rPr>
              <w:t>409</w:t>
            </w:r>
          </w:p>
        </w:tc>
        <w:tc>
          <w:tcPr>
            <w:tcW w:w="1246" w:type="dxa"/>
            <w:tcBorders>
              <w:right w:val="single" w:sz="4" w:space="0" w:color="auto"/>
            </w:tcBorders>
          </w:tcPr>
          <w:p w14:paraId="39396AF4" w14:textId="5D89795D" w:rsidR="002E074C" w:rsidRPr="00C907C9" w:rsidRDefault="002E074C" w:rsidP="00BD19DE">
            <w:pPr>
              <w:spacing w:after="0" w:line="278" w:lineRule="auto"/>
              <w:jc w:val="center"/>
              <w:rPr>
                <w:sz w:val="20"/>
                <w:szCs w:val="20"/>
              </w:rPr>
            </w:pPr>
            <w:r w:rsidRPr="00C907C9">
              <w:rPr>
                <w:sz w:val="20"/>
                <w:szCs w:val="20"/>
              </w:rPr>
              <w:t>0</w:t>
            </w:r>
          </w:p>
        </w:tc>
      </w:tr>
      <w:tr w:rsidR="008F7D7F" w:rsidRPr="00C907C9" w14:paraId="59D82252" w14:textId="77777777" w:rsidTr="00B057C6">
        <w:trPr>
          <w:trHeight w:val="332"/>
        </w:trPr>
        <w:tc>
          <w:tcPr>
            <w:tcW w:w="838" w:type="dxa"/>
            <w:tcBorders>
              <w:left w:val="single" w:sz="4" w:space="0" w:color="auto"/>
              <w:right w:val="single" w:sz="4" w:space="0" w:color="auto"/>
            </w:tcBorders>
          </w:tcPr>
          <w:p w14:paraId="7A995E45" w14:textId="2F67E931" w:rsidR="002E074C" w:rsidRPr="00C907C9" w:rsidRDefault="002E074C" w:rsidP="00BD19DE">
            <w:pPr>
              <w:spacing w:after="0" w:line="278" w:lineRule="auto"/>
              <w:rPr>
                <w:b/>
                <w:bCs/>
                <w:sz w:val="20"/>
                <w:szCs w:val="20"/>
              </w:rPr>
            </w:pPr>
            <w:r w:rsidRPr="00C907C9">
              <w:rPr>
                <w:b/>
                <w:bCs/>
                <w:sz w:val="20"/>
                <w:szCs w:val="20"/>
              </w:rPr>
              <w:t>2022</w:t>
            </w:r>
          </w:p>
        </w:tc>
        <w:tc>
          <w:tcPr>
            <w:tcW w:w="1239" w:type="dxa"/>
            <w:tcBorders>
              <w:left w:val="single" w:sz="4" w:space="0" w:color="auto"/>
            </w:tcBorders>
          </w:tcPr>
          <w:p w14:paraId="68C282D0" w14:textId="1AB80E1C" w:rsidR="002E074C" w:rsidRPr="00C907C9" w:rsidRDefault="002E074C" w:rsidP="00BD19DE">
            <w:pPr>
              <w:spacing w:after="0" w:line="278" w:lineRule="auto"/>
              <w:jc w:val="center"/>
              <w:rPr>
                <w:sz w:val="20"/>
                <w:szCs w:val="20"/>
              </w:rPr>
            </w:pPr>
            <w:r w:rsidRPr="00C907C9">
              <w:rPr>
                <w:sz w:val="20"/>
                <w:szCs w:val="20"/>
              </w:rPr>
              <w:t>279.</w:t>
            </w:r>
            <w:r w:rsidR="00F63E59">
              <w:rPr>
                <w:sz w:val="20"/>
                <w:szCs w:val="20"/>
              </w:rPr>
              <w:t>8</w:t>
            </w:r>
          </w:p>
        </w:tc>
        <w:tc>
          <w:tcPr>
            <w:tcW w:w="1239" w:type="dxa"/>
          </w:tcPr>
          <w:p w14:paraId="0921483F" w14:textId="2201FB80" w:rsidR="002E074C" w:rsidRPr="00C907C9" w:rsidRDefault="002E074C" w:rsidP="00BD19DE">
            <w:pPr>
              <w:spacing w:after="0" w:line="278" w:lineRule="auto"/>
              <w:jc w:val="center"/>
              <w:rPr>
                <w:sz w:val="20"/>
                <w:szCs w:val="20"/>
              </w:rPr>
            </w:pPr>
            <w:r w:rsidRPr="00C907C9">
              <w:rPr>
                <w:sz w:val="20"/>
                <w:szCs w:val="20"/>
              </w:rPr>
              <w:t>936.3</w:t>
            </w:r>
          </w:p>
        </w:tc>
        <w:tc>
          <w:tcPr>
            <w:tcW w:w="1363" w:type="dxa"/>
            <w:tcBorders>
              <w:right w:val="double" w:sz="4" w:space="0" w:color="BFBFBF" w:themeColor="background1" w:themeShade="BF"/>
            </w:tcBorders>
          </w:tcPr>
          <w:p w14:paraId="5CDD54D4" w14:textId="411A213C" w:rsidR="002E074C" w:rsidRPr="00C907C9" w:rsidRDefault="00F63E59" w:rsidP="00BD19DE">
            <w:pPr>
              <w:spacing w:after="0" w:line="278" w:lineRule="auto"/>
              <w:jc w:val="center"/>
              <w:rPr>
                <w:sz w:val="20"/>
                <w:szCs w:val="20"/>
              </w:rPr>
            </w:pPr>
            <w:r>
              <w:rPr>
                <w:sz w:val="20"/>
                <w:szCs w:val="20"/>
              </w:rPr>
              <w:t>0</w:t>
            </w:r>
          </w:p>
        </w:tc>
        <w:tc>
          <w:tcPr>
            <w:tcW w:w="1239" w:type="dxa"/>
            <w:tcBorders>
              <w:left w:val="double" w:sz="4" w:space="0" w:color="BFBFBF" w:themeColor="background1" w:themeShade="BF"/>
            </w:tcBorders>
          </w:tcPr>
          <w:p w14:paraId="320C2ED8" w14:textId="2279DC6E" w:rsidR="002E074C" w:rsidRPr="00C907C9" w:rsidRDefault="002E074C" w:rsidP="00BD19DE">
            <w:pPr>
              <w:spacing w:after="0" w:line="278" w:lineRule="auto"/>
              <w:jc w:val="center"/>
              <w:rPr>
                <w:sz w:val="20"/>
                <w:szCs w:val="20"/>
              </w:rPr>
            </w:pPr>
            <w:r w:rsidRPr="00C907C9">
              <w:rPr>
                <w:sz w:val="20"/>
                <w:szCs w:val="20"/>
              </w:rPr>
              <w:t>167.9</w:t>
            </w:r>
          </w:p>
        </w:tc>
        <w:tc>
          <w:tcPr>
            <w:tcW w:w="1239" w:type="dxa"/>
          </w:tcPr>
          <w:p w14:paraId="186DE88B" w14:textId="25AFBE24" w:rsidR="002E074C" w:rsidRPr="00C907C9" w:rsidRDefault="002E074C" w:rsidP="00BD19DE">
            <w:pPr>
              <w:spacing w:after="0" w:line="278" w:lineRule="auto"/>
              <w:jc w:val="center"/>
              <w:rPr>
                <w:sz w:val="20"/>
                <w:szCs w:val="20"/>
              </w:rPr>
            </w:pPr>
            <w:r w:rsidRPr="00C907C9">
              <w:rPr>
                <w:sz w:val="20"/>
                <w:szCs w:val="20"/>
              </w:rPr>
              <w:t>651</w:t>
            </w:r>
          </w:p>
        </w:tc>
        <w:tc>
          <w:tcPr>
            <w:tcW w:w="1246" w:type="dxa"/>
            <w:tcBorders>
              <w:right w:val="single" w:sz="4" w:space="0" w:color="auto"/>
            </w:tcBorders>
          </w:tcPr>
          <w:p w14:paraId="4B7EC854" w14:textId="621E3807" w:rsidR="002E074C" w:rsidRPr="00C907C9" w:rsidRDefault="002E074C" w:rsidP="00BD19DE">
            <w:pPr>
              <w:spacing w:after="0" w:line="278" w:lineRule="auto"/>
              <w:jc w:val="center"/>
              <w:rPr>
                <w:sz w:val="20"/>
                <w:szCs w:val="20"/>
              </w:rPr>
            </w:pPr>
            <w:r w:rsidRPr="00C907C9">
              <w:rPr>
                <w:sz w:val="20"/>
                <w:szCs w:val="20"/>
              </w:rPr>
              <w:t>0</w:t>
            </w:r>
          </w:p>
        </w:tc>
      </w:tr>
      <w:tr w:rsidR="00682A25" w:rsidRPr="00C907C9" w14:paraId="7FD1E4E0" w14:textId="77777777" w:rsidTr="00B057C6">
        <w:trPr>
          <w:trHeight w:val="342"/>
        </w:trPr>
        <w:tc>
          <w:tcPr>
            <w:tcW w:w="838" w:type="dxa"/>
            <w:tcBorders>
              <w:left w:val="single" w:sz="4" w:space="0" w:color="auto"/>
              <w:right w:val="single" w:sz="4" w:space="0" w:color="auto"/>
            </w:tcBorders>
          </w:tcPr>
          <w:p w14:paraId="1A8F857F" w14:textId="61B96EEB" w:rsidR="00682A25" w:rsidRPr="00C907C9" w:rsidRDefault="00682A25" w:rsidP="00BD19DE">
            <w:pPr>
              <w:spacing w:after="0" w:line="278" w:lineRule="auto"/>
              <w:rPr>
                <w:b/>
                <w:bCs/>
                <w:sz w:val="20"/>
                <w:szCs w:val="20"/>
              </w:rPr>
            </w:pPr>
            <w:r w:rsidRPr="00C907C9">
              <w:rPr>
                <w:b/>
                <w:bCs/>
                <w:sz w:val="20"/>
                <w:szCs w:val="20"/>
              </w:rPr>
              <w:t>2023</w:t>
            </w:r>
          </w:p>
        </w:tc>
        <w:tc>
          <w:tcPr>
            <w:tcW w:w="1239" w:type="dxa"/>
            <w:tcBorders>
              <w:left w:val="single" w:sz="4" w:space="0" w:color="auto"/>
            </w:tcBorders>
          </w:tcPr>
          <w:p w14:paraId="0F011502" w14:textId="380A3570" w:rsidR="00682A25" w:rsidRPr="00C907C9" w:rsidRDefault="00682A25" w:rsidP="00BD19DE">
            <w:pPr>
              <w:spacing w:after="0" w:line="278" w:lineRule="auto"/>
              <w:jc w:val="center"/>
              <w:rPr>
                <w:sz w:val="20"/>
                <w:szCs w:val="20"/>
              </w:rPr>
            </w:pPr>
            <w:r w:rsidRPr="00C907C9">
              <w:rPr>
                <w:sz w:val="20"/>
                <w:szCs w:val="20"/>
              </w:rPr>
              <w:t>119.1</w:t>
            </w:r>
          </w:p>
        </w:tc>
        <w:tc>
          <w:tcPr>
            <w:tcW w:w="1239" w:type="dxa"/>
          </w:tcPr>
          <w:p w14:paraId="378FA639" w14:textId="7AB0DC7B" w:rsidR="00682A25" w:rsidRPr="00C907C9" w:rsidRDefault="00682A25" w:rsidP="00BD19DE">
            <w:pPr>
              <w:spacing w:after="0" w:line="278" w:lineRule="auto"/>
              <w:jc w:val="center"/>
              <w:rPr>
                <w:sz w:val="20"/>
                <w:szCs w:val="20"/>
              </w:rPr>
            </w:pPr>
            <w:r w:rsidRPr="00C907C9">
              <w:rPr>
                <w:sz w:val="20"/>
                <w:szCs w:val="20"/>
              </w:rPr>
              <w:t>384.8</w:t>
            </w:r>
          </w:p>
        </w:tc>
        <w:tc>
          <w:tcPr>
            <w:tcW w:w="1363" w:type="dxa"/>
            <w:tcBorders>
              <w:right w:val="double" w:sz="4" w:space="0" w:color="BFBFBF" w:themeColor="background1" w:themeShade="BF"/>
            </w:tcBorders>
          </w:tcPr>
          <w:p w14:paraId="1CE8B0E6" w14:textId="68279F2F" w:rsidR="00682A25" w:rsidRPr="00C907C9" w:rsidRDefault="00682A25" w:rsidP="00BD19DE">
            <w:pPr>
              <w:spacing w:after="0" w:line="278" w:lineRule="auto"/>
              <w:jc w:val="center"/>
              <w:rPr>
                <w:sz w:val="20"/>
                <w:szCs w:val="20"/>
              </w:rPr>
            </w:pPr>
            <w:r w:rsidRPr="00C907C9">
              <w:rPr>
                <w:sz w:val="20"/>
                <w:szCs w:val="20"/>
              </w:rPr>
              <w:t>0</w:t>
            </w:r>
          </w:p>
        </w:tc>
        <w:tc>
          <w:tcPr>
            <w:tcW w:w="1239" w:type="dxa"/>
            <w:tcBorders>
              <w:left w:val="double" w:sz="4" w:space="0" w:color="BFBFBF" w:themeColor="background1" w:themeShade="BF"/>
            </w:tcBorders>
          </w:tcPr>
          <w:p w14:paraId="25D73961" w14:textId="6E074FDE" w:rsidR="00682A25" w:rsidRPr="00C907C9" w:rsidRDefault="00682A25" w:rsidP="00BD19DE">
            <w:pPr>
              <w:spacing w:after="0" w:line="278" w:lineRule="auto"/>
              <w:jc w:val="center"/>
              <w:rPr>
                <w:sz w:val="20"/>
                <w:szCs w:val="20"/>
              </w:rPr>
            </w:pPr>
            <w:r w:rsidRPr="00C907C9">
              <w:rPr>
                <w:sz w:val="20"/>
                <w:szCs w:val="20"/>
              </w:rPr>
              <w:t>88.</w:t>
            </w:r>
            <w:r w:rsidR="00837FDC">
              <w:rPr>
                <w:sz w:val="20"/>
                <w:szCs w:val="20"/>
              </w:rPr>
              <w:t>3</w:t>
            </w:r>
          </w:p>
        </w:tc>
        <w:tc>
          <w:tcPr>
            <w:tcW w:w="1239" w:type="dxa"/>
          </w:tcPr>
          <w:p w14:paraId="4CC0FF33" w14:textId="2C3A60F4" w:rsidR="00682A25" w:rsidRPr="00C907C9" w:rsidRDefault="00682A25" w:rsidP="00BD19DE">
            <w:pPr>
              <w:spacing w:after="0" w:line="278" w:lineRule="auto"/>
              <w:jc w:val="center"/>
              <w:rPr>
                <w:sz w:val="20"/>
                <w:szCs w:val="20"/>
              </w:rPr>
            </w:pPr>
            <w:r w:rsidRPr="00C907C9">
              <w:rPr>
                <w:sz w:val="20"/>
                <w:szCs w:val="20"/>
              </w:rPr>
              <w:t>220</w:t>
            </w:r>
          </w:p>
        </w:tc>
        <w:tc>
          <w:tcPr>
            <w:tcW w:w="1246" w:type="dxa"/>
            <w:tcBorders>
              <w:right w:val="single" w:sz="4" w:space="0" w:color="auto"/>
            </w:tcBorders>
          </w:tcPr>
          <w:p w14:paraId="230B33E0" w14:textId="0F66ED22" w:rsidR="00682A25" w:rsidRPr="00C907C9" w:rsidRDefault="00682A25" w:rsidP="00BD19DE">
            <w:pPr>
              <w:spacing w:after="0" w:line="278" w:lineRule="auto"/>
              <w:jc w:val="center"/>
              <w:rPr>
                <w:sz w:val="20"/>
                <w:szCs w:val="20"/>
              </w:rPr>
            </w:pPr>
            <w:r w:rsidRPr="00C907C9">
              <w:rPr>
                <w:sz w:val="20"/>
                <w:szCs w:val="20"/>
              </w:rPr>
              <w:t>0</w:t>
            </w:r>
          </w:p>
        </w:tc>
      </w:tr>
      <w:tr w:rsidR="00682A25" w:rsidRPr="00C907C9" w14:paraId="026E3096" w14:textId="77777777" w:rsidTr="00B057C6">
        <w:trPr>
          <w:trHeight w:val="342"/>
        </w:trPr>
        <w:tc>
          <w:tcPr>
            <w:tcW w:w="838" w:type="dxa"/>
            <w:tcBorders>
              <w:left w:val="single" w:sz="4" w:space="0" w:color="auto"/>
              <w:right w:val="single" w:sz="4" w:space="0" w:color="auto"/>
            </w:tcBorders>
          </w:tcPr>
          <w:p w14:paraId="686557C4" w14:textId="7B3347D7" w:rsidR="00682A25" w:rsidRPr="00C907C9" w:rsidRDefault="00682A25" w:rsidP="00BD19DE">
            <w:pPr>
              <w:spacing w:after="0" w:line="278" w:lineRule="auto"/>
              <w:rPr>
                <w:b/>
                <w:bCs/>
                <w:sz w:val="20"/>
                <w:szCs w:val="20"/>
              </w:rPr>
            </w:pPr>
            <w:r w:rsidRPr="00C907C9">
              <w:rPr>
                <w:b/>
                <w:bCs/>
                <w:sz w:val="20"/>
                <w:szCs w:val="20"/>
              </w:rPr>
              <w:t>2024</w:t>
            </w:r>
          </w:p>
        </w:tc>
        <w:tc>
          <w:tcPr>
            <w:tcW w:w="1239" w:type="dxa"/>
            <w:tcBorders>
              <w:left w:val="single" w:sz="4" w:space="0" w:color="auto"/>
            </w:tcBorders>
          </w:tcPr>
          <w:p w14:paraId="12E4F4A4" w14:textId="298FFB26" w:rsidR="00682A25" w:rsidRPr="00C907C9" w:rsidRDefault="00682A25" w:rsidP="00BD19DE">
            <w:pPr>
              <w:spacing w:after="0" w:line="278" w:lineRule="auto"/>
              <w:jc w:val="center"/>
              <w:rPr>
                <w:sz w:val="20"/>
                <w:szCs w:val="20"/>
              </w:rPr>
            </w:pPr>
            <w:r w:rsidRPr="00C907C9">
              <w:rPr>
                <w:sz w:val="20"/>
                <w:szCs w:val="20"/>
              </w:rPr>
              <w:t>100.</w:t>
            </w:r>
            <w:r w:rsidR="00F63E59">
              <w:rPr>
                <w:sz w:val="20"/>
                <w:szCs w:val="20"/>
              </w:rPr>
              <w:t>9</w:t>
            </w:r>
          </w:p>
        </w:tc>
        <w:tc>
          <w:tcPr>
            <w:tcW w:w="1239" w:type="dxa"/>
          </w:tcPr>
          <w:p w14:paraId="7489E369" w14:textId="51C1C663" w:rsidR="00682A25" w:rsidRPr="00C907C9" w:rsidRDefault="00682A25" w:rsidP="00BD19DE">
            <w:pPr>
              <w:spacing w:after="0" w:line="278" w:lineRule="auto"/>
              <w:jc w:val="center"/>
              <w:rPr>
                <w:sz w:val="20"/>
                <w:szCs w:val="20"/>
              </w:rPr>
            </w:pPr>
            <w:r w:rsidRPr="00C907C9">
              <w:rPr>
                <w:sz w:val="20"/>
                <w:szCs w:val="20"/>
              </w:rPr>
              <w:t>942</w:t>
            </w:r>
          </w:p>
        </w:tc>
        <w:tc>
          <w:tcPr>
            <w:tcW w:w="1363" w:type="dxa"/>
            <w:tcBorders>
              <w:right w:val="double" w:sz="4" w:space="0" w:color="BFBFBF" w:themeColor="background1" w:themeShade="BF"/>
            </w:tcBorders>
          </w:tcPr>
          <w:p w14:paraId="68E616F2" w14:textId="13A2B241" w:rsidR="00682A25" w:rsidRPr="00C907C9" w:rsidRDefault="00682A25" w:rsidP="00BD19DE">
            <w:pPr>
              <w:spacing w:after="0" w:line="278" w:lineRule="auto"/>
              <w:jc w:val="center"/>
              <w:rPr>
                <w:sz w:val="20"/>
                <w:szCs w:val="20"/>
              </w:rPr>
            </w:pPr>
            <w:r w:rsidRPr="00C907C9">
              <w:rPr>
                <w:sz w:val="20"/>
                <w:szCs w:val="20"/>
              </w:rPr>
              <w:t>-1</w:t>
            </w:r>
          </w:p>
        </w:tc>
        <w:tc>
          <w:tcPr>
            <w:tcW w:w="1239" w:type="dxa"/>
            <w:tcBorders>
              <w:left w:val="double" w:sz="4" w:space="0" w:color="BFBFBF" w:themeColor="background1" w:themeShade="BF"/>
            </w:tcBorders>
          </w:tcPr>
          <w:p w14:paraId="5E0B4004" w14:textId="639D2C19" w:rsidR="00682A25" w:rsidRPr="00C907C9" w:rsidRDefault="00682A25" w:rsidP="00BD19DE">
            <w:pPr>
              <w:spacing w:after="0" w:line="278" w:lineRule="auto"/>
              <w:jc w:val="center"/>
              <w:rPr>
                <w:sz w:val="20"/>
                <w:szCs w:val="20"/>
              </w:rPr>
            </w:pPr>
            <w:r w:rsidRPr="00C907C9">
              <w:rPr>
                <w:sz w:val="20"/>
                <w:szCs w:val="20"/>
              </w:rPr>
              <w:t>63.4</w:t>
            </w:r>
          </w:p>
        </w:tc>
        <w:tc>
          <w:tcPr>
            <w:tcW w:w="1239" w:type="dxa"/>
          </w:tcPr>
          <w:p w14:paraId="70A3CE30" w14:textId="56A641A3" w:rsidR="00682A25" w:rsidRPr="00C907C9" w:rsidRDefault="00682A25" w:rsidP="00BD19DE">
            <w:pPr>
              <w:spacing w:after="0" w:line="278" w:lineRule="auto"/>
              <w:jc w:val="center"/>
              <w:rPr>
                <w:sz w:val="20"/>
                <w:szCs w:val="20"/>
              </w:rPr>
            </w:pPr>
            <w:r w:rsidRPr="00C907C9">
              <w:rPr>
                <w:sz w:val="20"/>
                <w:szCs w:val="20"/>
              </w:rPr>
              <w:t>193</w:t>
            </w:r>
          </w:p>
        </w:tc>
        <w:tc>
          <w:tcPr>
            <w:tcW w:w="1246" w:type="dxa"/>
            <w:tcBorders>
              <w:right w:val="single" w:sz="4" w:space="0" w:color="auto"/>
            </w:tcBorders>
          </w:tcPr>
          <w:p w14:paraId="572A077D" w14:textId="3279699C" w:rsidR="00682A25" w:rsidRPr="00C907C9" w:rsidRDefault="00682A25" w:rsidP="00BD19DE">
            <w:pPr>
              <w:spacing w:after="0" w:line="278" w:lineRule="auto"/>
              <w:jc w:val="center"/>
              <w:rPr>
                <w:sz w:val="20"/>
                <w:szCs w:val="20"/>
              </w:rPr>
            </w:pPr>
            <w:r w:rsidRPr="00C907C9">
              <w:rPr>
                <w:sz w:val="20"/>
                <w:szCs w:val="20"/>
              </w:rPr>
              <w:t>-2</w:t>
            </w:r>
          </w:p>
        </w:tc>
      </w:tr>
      <w:tr w:rsidR="00682A25" w:rsidRPr="00C907C9" w14:paraId="4B85CA1B" w14:textId="77777777" w:rsidTr="00B057C6">
        <w:trPr>
          <w:trHeight w:val="332"/>
        </w:trPr>
        <w:tc>
          <w:tcPr>
            <w:tcW w:w="838" w:type="dxa"/>
            <w:tcBorders>
              <w:left w:val="single" w:sz="4" w:space="0" w:color="auto"/>
              <w:bottom w:val="single" w:sz="4" w:space="0" w:color="auto"/>
              <w:right w:val="single" w:sz="4" w:space="0" w:color="auto"/>
            </w:tcBorders>
          </w:tcPr>
          <w:p w14:paraId="6880F8E0" w14:textId="20E16EB3" w:rsidR="00682A25" w:rsidRPr="00C907C9" w:rsidRDefault="00682A25" w:rsidP="00BD19DE">
            <w:pPr>
              <w:spacing w:after="0" w:line="278" w:lineRule="auto"/>
              <w:rPr>
                <w:b/>
                <w:bCs/>
                <w:sz w:val="20"/>
                <w:szCs w:val="20"/>
              </w:rPr>
            </w:pPr>
            <w:r w:rsidRPr="00C907C9">
              <w:rPr>
                <w:b/>
                <w:bCs/>
                <w:sz w:val="20"/>
                <w:szCs w:val="20"/>
              </w:rPr>
              <w:t>2025</w:t>
            </w:r>
            <w:r w:rsidR="00BF0A9B" w:rsidRPr="00C907C9">
              <w:rPr>
                <w:rStyle w:val="FootnoteReference"/>
                <w:b/>
                <w:bCs/>
                <w:sz w:val="20"/>
                <w:szCs w:val="20"/>
              </w:rPr>
              <w:footnoteReference w:id="12"/>
            </w:r>
          </w:p>
        </w:tc>
        <w:tc>
          <w:tcPr>
            <w:tcW w:w="1239" w:type="dxa"/>
            <w:tcBorders>
              <w:left w:val="single" w:sz="4" w:space="0" w:color="auto"/>
              <w:bottom w:val="single" w:sz="4" w:space="0" w:color="auto"/>
            </w:tcBorders>
          </w:tcPr>
          <w:p w14:paraId="36D8A2FC" w14:textId="5DB28A64" w:rsidR="00682A25" w:rsidRPr="00C907C9" w:rsidRDefault="00682A25" w:rsidP="00BD19DE">
            <w:pPr>
              <w:spacing w:after="0" w:line="278" w:lineRule="auto"/>
              <w:jc w:val="center"/>
              <w:rPr>
                <w:sz w:val="20"/>
                <w:szCs w:val="20"/>
              </w:rPr>
            </w:pPr>
            <w:r w:rsidRPr="00C907C9">
              <w:rPr>
                <w:sz w:val="20"/>
                <w:szCs w:val="20"/>
              </w:rPr>
              <w:t>102.</w:t>
            </w:r>
            <w:r w:rsidR="00F63E59">
              <w:rPr>
                <w:sz w:val="20"/>
                <w:szCs w:val="20"/>
              </w:rPr>
              <w:t>7</w:t>
            </w:r>
          </w:p>
        </w:tc>
        <w:tc>
          <w:tcPr>
            <w:tcW w:w="1239" w:type="dxa"/>
            <w:tcBorders>
              <w:bottom w:val="single" w:sz="4" w:space="0" w:color="auto"/>
            </w:tcBorders>
          </w:tcPr>
          <w:p w14:paraId="2FF16FD2" w14:textId="2573FFBD" w:rsidR="00682A25" w:rsidRPr="00C907C9" w:rsidRDefault="00682A25" w:rsidP="00BD19DE">
            <w:pPr>
              <w:spacing w:after="0" w:line="278" w:lineRule="auto"/>
              <w:jc w:val="center"/>
              <w:rPr>
                <w:sz w:val="20"/>
                <w:szCs w:val="20"/>
              </w:rPr>
            </w:pPr>
            <w:r w:rsidRPr="00C907C9">
              <w:rPr>
                <w:sz w:val="20"/>
                <w:szCs w:val="20"/>
              </w:rPr>
              <w:t>561.</w:t>
            </w:r>
            <w:r w:rsidR="00F63E59">
              <w:rPr>
                <w:sz w:val="20"/>
                <w:szCs w:val="20"/>
              </w:rPr>
              <w:t>2</w:t>
            </w:r>
          </w:p>
        </w:tc>
        <w:tc>
          <w:tcPr>
            <w:tcW w:w="1363" w:type="dxa"/>
            <w:tcBorders>
              <w:bottom w:val="single" w:sz="4" w:space="0" w:color="auto"/>
              <w:right w:val="double" w:sz="4" w:space="0" w:color="BFBFBF" w:themeColor="background1" w:themeShade="BF"/>
            </w:tcBorders>
          </w:tcPr>
          <w:p w14:paraId="5C5B8FB2" w14:textId="707939E4" w:rsidR="00682A25" w:rsidRPr="00C907C9" w:rsidRDefault="00682A25" w:rsidP="00BD19DE">
            <w:pPr>
              <w:spacing w:after="0" w:line="278" w:lineRule="auto"/>
              <w:jc w:val="center"/>
              <w:rPr>
                <w:sz w:val="20"/>
                <w:szCs w:val="20"/>
              </w:rPr>
            </w:pPr>
            <w:r w:rsidRPr="00C907C9">
              <w:rPr>
                <w:sz w:val="20"/>
                <w:szCs w:val="20"/>
              </w:rPr>
              <w:t>-50</w:t>
            </w:r>
          </w:p>
        </w:tc>
        <w:tc>
          <w:tcPr>
            <w:tcW w:w="1239" w:type="dxa"/>
            <w:tcBorders>
              <w:left w:val="double" w:sz="4" w:space="0" w:color="BFBFBF" w:themeColor="background1" w:themeShade="BF"/>
              <w:bottom w:val="single" w:sz="4" w:space="0" w:color="auto"/>
            </w:tcBorders>
          </w:tcPr>
          <w:p w14:paraId="3FA499A6" w14:textId="6E26AE3B" w:rsidR="00682A25" w:rsidRPr="00C907C9" w:rsidRDefault="00682A25" w:rsidP="00BD19DE">
            <w:pPr>
              <w:spacing w:after="0" w:line="278" w:lineRule="auto"/>
              <w:jc w:val="center"/>
              <w:rPr>
                <w:sz w:val="20"/>
                <w:szCs w:val="20"/>
              </w:rPr>
            </w:pPr>
            <w:r w:rsidRPr="00C907C9">
              <w:rPr>
                <w:sz w:val="20"/>
                <w:szCs w:val="20"/>
              </w:rPr>
              <w:t>65.7</w:t>
            </w:r>
          </w:p>
        </w:tc>
        <w:tc>
          <w:tcPr>
            <w:tcW w:w="1239" w:type="dxa"/>
            <w:tcBorders>
              <w:bottom w:val="single" w:sz="4" w:space="0" w:color="auto"/>
            </w:tcBorders>
          </w:tcPr>
          <w:p w14:paraId="28A7440E" w14:textId="336A485D" w:rsidR="00682A25" w:rsidRPr="00C907C9" w:rsidRDefault="00682A25" w:rsidP="00BD19DE">
            <w:pPr>
              <w:spacing w:after="0" w:line="278" w:lineRule="auto"/>
              <w:jc w:val="center"/>
              <w:rPr>
                <w:sz w:val="20"/>
                <w:szCs w:val="20"/>
              </w:rPr>
            </w:pPr>
            <w:r w:rsidRPr="00C907C9">
              <w:rPr>
                <w:sz w:val="20"/>
                <w:szCs w:val="20"/>
              </w:rPr>
              <w:t>240</w:t>
            </w:r>
          </w:p>
        </w:tc>
        <w:tc>
          <w:tcPr>
            <w:tcW w:w="1246" w:type="dxa"/>
            <w:tcBorders>
              <w:bottom w:val="single" w:sz="4" w:space="0" w:color="auto"/>
              <w:right w:val="single" w:sz="4" w:space="0" w:color="auto"/>
            </w:tcBorders>
          </w:tcPr>
          <w:p w14:paraId="33EAA341" w14:textId="0A2CC195" w:rsidR="00682A25" w:rsidRPr="00C907C9" w:rsidRDefault="00682A25" w:rsidP="00BD19DE">
            <w:pPr>
              <w:keepNext/>
              <w:spacing w:after="0" w:line="278" w:lineRule="auto"/>
              <w:jc w:val="center"/>
              <w:rPr>
                <w:sz w:val="20"/>
                <w:szCs w:val="20"/>
              </w:rPr>
            </w:pPr>
            <w:r w:rsidRPr="00C907C9">
              <w:rPr>
                <w:sz w:val="20"/>
                <w:szCs w:val="20"/>
              </w:rPr>
              <w:t>-5</w:t>
            </w:r>
          </w:p>
        </w:tc>
      </w:tr>
    </w:tbl>
    <w:p w14:paraId="2D4A14BF" w14:textId="77777777" w:rsidR="00E3419F" w:rsidRPr="00C907C9" w:rsidRDefault="00E3419F" w:rsidP="00BD19DE">
      <w:pPr>
        <w:spacing w:after="0"/>
        <w:rPr>
          <w:szCs w:val="22"/>
        </w:rPr>
      </w:pPr>
    </w:p>
    <w:p w14:paraId="7487CC49" w14:textId="09DB3131" w:rsidR="00B31ED5" w:rsidRPr="00C907C9" w:rsidRDefault="00655A2F" w:rsidP="00BD19DE">
      <w:pPr>
        <w:pStyle w:val="Heading2"/>
        <w:spacing w:before="0" w:line="278" w:lineRule="auto"/>
      </w:pPr>
      <w:r w:rsidRPr="00C907C9">
        <w:t xml:space="preserve">Συμπεράσματα </w:t>
      </w:r>
      <w:r w:rsidR="00A90D3F" w:rsidRPr="00C907C9">
        <w:t>–</w:t>
      </w:r>
      <w:r w:rsidRPr="00C907C9">
        <w:t xml:space="preserve"> Προτάσεις</w:t>
      </w:r>
    </w:p>
    <w:p w14:paraId="425949DB" w14:textId="77777777" w:rsidR="00906493" w:rsidRPr="00C907C9" w:rsidRDefault="00906493" w:rsidP="00BD19DE">
      <w:pPr>
        <w:spacing w:after="0"/>
      </w:pPr>
    </w:p>
    <w:p w14:paraId="5D0F5D73" w14:textId="3478835A" w:rsidR="007B4DA2" w:rsidRPr="00C907C9" w:rsidRDefault="00021969" w:rsidP="00BD19DE">
      <w:pPr>
        <w:spacing w:after="0"/>
      </w:pPr>
      <w:r w:rsidRPr="00C907C9">
        <w:t>Τα αποτελέσματα</w:t>
      </w:r>
      <w:r w:rsidR="00561828" w:rsidRPr="00C907C9">
        <w:t xml:space="preserve"> της ανάλυσης τόσο για την Ελλάδα </w:t>
      </w:r>
      <w:r w:rsidR="004D0743" w:rsidRPr="00C907C9">
        <w:t xml:space="preserve">όσο </w:t>
      </w:r>
      <w:r w:rsidR="00561828" w:rsidRPr="00C907C9">
        <w:t xml:space="preserve">και </w:t>
      </w:r>
      <w:r w:rsidR="004D0743" w:rsidRPr="00C907C9">
        <w:t xml:space="preserve">για </w:t>
      </w:r>
      <w:r w:rsidR="00561828" w:rsidRPr="00C907C9">
        <w:t>την Πορτογαλία δείχνουν ότι ο</w:t>
      </w:r>
      <w:r w:rsidR="00BF02AF" w:rsidRPr="00C907C9">
        <w:t>ι ΑΠΕ (</w:t>
      </w:r>
      <w:r w:rsidR="00561828" w:rsidRPr="00C907C9">
        <w:t xml:space="preserve">κυρίως </w:t>
      </w:r>
      <w:r w:rsidR="00B66B92" w:rsidRPr="00C907C9">
        <w:t xml:space="preserve">η </w:t>
      </w:r>
      <w:r w:rsidR="00BF02AF" w:rsidRPr="00C907C9">
        <w:t>αιολική και</w:t>
      </w:r>
      <w:r w:rsidR="00B66B92" w:rsidRPr="00C907C9">
        <w:t xml:space="preserve"> η</w:t>
      </w:r>
      <w:r w:rsidR="00BF02AF" w:rsidRPr="00C907C9">
        <w:t xml:space="preserve"> ηλιακή ενέργεια) ασκούν τη μεγαλύτερη αρνητική –δηλαδή θετική για τον καταναλωτή– επίδραση στις τιμές ηλεκτρισμού</w:t>
      </w:r>
      <w:r w:rsidR="00701040" w:rsidRPr="00C907C9">
        <w:t xml:space="preserve"> στην προημερησία αγορά</w:t>
      </w:r>
      <w:r w:rsidR="00561828" w:rsidRPr="00C907C9">
        <w:t>. Αντίθετα,</w:t>
      </w:r>
      <w:r w:rsidR="00BF02AF" w:rsidRPr="00C907C9">
        <w:t xml:space="preserve"> η αυξημένη συμμετοχή ορυκτών καυσίμων </w:t>
      </w:r>
      <w:r w:rsidR="000C0393" w:rsidRPr="00C907C9">
        <w:t xml:space="preserve">και ειδικά </w:t>
      </w:r>
      <w:r w:rsidR="00701040" w:rsidRPr="00C907C9">
        <w:t xml:space="preserve">του </w:t>
      </w:r>
      <w:r w:rsidR="000C0393" w:rsidRPr="00C907C9">
        <w:t xml:space="preserve">ορυκτού αερίου </w:t>
      </w:r>
      <w:r w:rsidR="00BF02AF" w:rsidRPr="00C907C9">
        <w:t xml:space="preserve">στο μίγμα </w:t>
      </w:r>
      <w:r w:rsidR="00701040" w:rsidRPr="00C907C9">
        <w:t xml:space="preserve">ηλεκτροπαραγωγής </w:t>
      </w:r>
      <w:r w:rsidR="00BF02AF" w:rsidRPr="00C907C9">
        <w:t>συ</w:t>
      </w:r>
      <w:r w:rsidR="00561828" w:rsidRPr="00C907C9">
        <w:t>σχετίζεται</w:t>
      </w:r>
      <w:r w:rsidR="00BF02AF" w:rsidRPr="00C907C9">
        <w:t xml:space="preserve"> με ακριβότερη ηλεκτρική ενέργεια.</w:t>
      </w:r>
      <w:r w:rsidR="002A579D" w:rsidRPr="00C907C9">
        <w:t xml:space="preserve"> </w:t>
      </w:r>
      <w:r w:rsidR="00F25879" w:rsidRPr="00C907C9">
        <w:t xml:space="preserve">Η ανάλυση </w:t>
      </w:r>
      <w:r w:rsidR="00937843" w:rsidRPr="00C907C9">
        <w:t>δείχνει</w:t>
      </w:r>
      <w:r w:rsidR="00F25879" w:rsidRPr="00C907C9">
        <w:t xml:space="preserve"> επίσης ότι σ</w:t>
      </w:r>
      <w:r w:rsidR="002A579D" w:rsidRPr="00C907C9">
        <w:t>ημαντική επίδραση στις τιμές</w:t>
      </w:r>
      <w:r w:rsidR="00EC5131" w:rsidRPr="00C907C9">
        <w:t xml:space="preserve"> έχουν και τα συστήματα αποθήκευσης </w:t>
      </w:r>
      <w:r w:rsidR="00F25879" w:rsidRPr="00C907C9">
        <w:t xml:space="preserve">ηλεκτρικής </w:t>
      </w:r>
      <w:r w:rsidR="00EC5131" w:rsidRPr="00C907C9">
        <w:t xml:space="preserve">ενέργειας τα οποία μπορούν να λειτουργήσουν συμπληρωματικά με τις ΑΠΕ, περιορίζοντας τη χρήση ακριβών ορυκτών καυσίμων για την κάλυψη αιχμών ζήτησης. </w:t>
      </w:r>
      <w:r w:rsidR="00BF02AF" w:rsidRPr="00C907C9">
        <w:t xml:space="preserve"> </w:t>
      </w:r>
    </w:p>
    <w:p w14:paraId="7CA52801" w14:textId="77777777" w:rsidR="000C0393" w:rsidRPr="00C907C9" w:rsidRDefault="000C0393" w:rsidP="00BD19DE">
      <w:pPr>
        <w:spacing w:after="0"/>
      </w:pPr>
    </w:p>
    <w:p w14:paraId="7D5471E9" w14:textId="405A8697" w:rsidR="004A01FD" w:rsidRPr="00C907C9" w:rsidRDefault="00C53F70" w:rsidP="00BD19DE">
      <w:pPr>
        <w:spacing w:after="0"/>
      </w:pPr>
      <w:r w:rsidRPr="00C907C9">
        <w:t>Το παράδειγμα της Πορτογαλίας</w:t>
      </w:r>
      <w:r w:rsidR="0021112B" w:rsidRPr="00C907C9">
        <w:t xml:space="preserve"> </w:t>
      </w:r>
      <w:r w:rsidR="00403578" w:rsidRPr="00C907C9">
        <w:t>δείχνει ότι μικρότερη εξάρτηση από το ορυκτό αέριο</w:t>
      </w:r>
      <w:r w:rsidR="00CE41B9" w:rsidRPr="00C907C9">
        <w:t xml:space="preserve"> </w:t>
      </w:r>
      <w:r w:rsidR="001601A5" w:rsidRPr="00C907C9">
        <w:t xml:space="preserve">και η ύπαρξη υποδομών αποθήκευσης σημαντικής ισχύος </w:t>
      </w:r>
      <w:r w:rsidR="00CE41B9" w:rsidRPr="00C907C9">
        <w:t xml:space="preserve">καταλήγει σε </w:t>
      </w:r>
      <w:r w:rsidR="00F25879" w:rsidRPr="00C907C9">
        <w:t xml:space="preserve">χαμηλότερη τελική μέση τιμή ηλεκτρικής ενέργειας </w:t>
      </w:r>
      <w:r w:rsidR="00A25BAC" w:rsidRPr="00C907C9">
        <w:t xml:space="preserve">αλλά και </w:t>
      </w:r>
      <w:r w:rsidR="00D438A8" w:rsidRPr="00C907C9">
        <w:t xml:space="preserve">σε </w:t>
      </w:r>
      <w:r w:rsidR="00CE41B9" w:rsidRPr="00C907C9">
        <w:t>μικρότερες διακυμάνσεις τιμών</w:t>
      </w:r>
      <w:r w:rsidR="004B3FBB" w:rsidRPr="00C907C9">
        <w:t>.</w:t>
      </w:r>
      <w:r w:rsidR="00D41721" w:rsidRPr="00C907C9">
        <w:t xml:space="preserve"> </w:t>
      </w:r>
      <w:r w:rsidR="00701040" w:rsidRPr="00C907C9">
        <w:t>Ειδικότερα, α</w:t>
      </w:r>
      <w:r w:rsidR="00D41721" w:rsidRPr="00C907C9">
        <w:t>πό το</w:t>
      </w:r>
      <w:r w:rsidR="00B8453D" w:rsidRPr="00C907C9">
        <w:t>ν Οκτώβριο του</w:t>
      </w:r>
      <w:r w:rsidR="00D41721" w:rsidRPr="00C907C9">
        <w:t xml:space="preserve"> 2023 και μετά</w:t>
      </w:r>
      <w:r w:rsidR="00701040" w:rsidRPr="00C907C9">
        <w:t>,</w:t>
      </w:r>
      <w:r w:rsidR="00D41721" w:rsidRPr="00C907C9">
        <w:t xml:space="preserve"> </w:t>
      </w:r>
      <w:r w:rsidR="0007552C" w:rsidRPr="00C907C9">
        <w:t>το μέσο μηνιαίο μερίδιο του ορυκτού αερίου στην ηλεκτροπαραγ</w:t>
      </w:r>
      <w:r w:rsidR="00FD7301" w:rsidRPr="00C907C9">
        <w:t>ωγή στην</w:t>
      </w:r>
      <w:r w:rsidR="00D41721" w:rsidRPr="00C907C9">
        <w:t xml:space="preserve"> Πορτογαλία </w:t>
      </w:r>
      <w:r w:rsidR="00FD7301" w:rsidRPr="00C907C9">
        <w:t xml:space="preserve">ήταν μόλις 14% χωρίς </w:t>
      </w:r>
      <w:r w:rsidR="00A25BAC" w:rsidRPr="00C907C9">
        <w:t xml:space="preserve">ποτέ </w:t>
      </w:r>
      <w:r w:rsidR="00FD7301" w:rsidRPr="00C907C9">
        <w:t>να ξεπεράσει το</w:t>
      </w:r>
      <w:r w:rsidR="00204B67" w:rsidRPr="00C907C9">
        <w:t xml:space="preserve"> </w:t>
      </w:r>
      <w:r w:rsidR="00B8453D" w:rsidRPr="00C907C9">
        <w:t>25</w:t>
      </w:r>
      <w:r w:rsidR="00204B67" w:rsidRPr="00C907C9">
        <w:t>%</w:t>
      </w:r>
      <w:r w:rsidR="00865FF3" w:rsidRPr="00C907C9">
        <w:t xml:space="preserve">, ενώ </w:t>
      </w:r>
      <w:r w:rsidR="00477832" w:rsidRPr="00C907C9">
        <w:t xml:space="preserve">το μέσο </w:t>
      </w:r>
      <w:r w:rsidR="00701040" w:rsidRPr="00C907C9">
        <w:t>μην</w:t>
      </w:r>
      <w:r w:rsidR="00193057" w:rsidRPr="00C907C9">
        <w:t xml:space="preserve">ιαίο </w:t>
      </w:r>
      <w:r w:rsidR="00477832" w:rsidRPr="00C907C9">
        <w:t xml:space="preserve">μερίδιο </w:t>
      </w:r>
      <w:r w:rsidR="00FD7301" w:rsidRPr="00C907C9">
        <w:t>αερίου στην</w:t>
      </w:r>
      <w:r w:rsidR="00477832" w:rsidRPr="00C907C9">
        <w:t xml:space="preserve"> Ελλάδα στο ίδιο </w:t>
      </w:r>
      <w:r w:rsidR="005522AF" w:rsidRPr="00C907C9">
        <w:t>χρονικό διάστημα</w:t>
      </w:r>
      <w:r w:rsidR="006F7E78" w:rsidRPr="00C907C9">
        <w:t xml:space="preserve"> </w:t>
      </w:r>
      <w:r w:rsidR="00403809" w:rsidRPr="00C907C9">
        <w:t>άγγιξε</w:t>
      </w:r>
      <w:r w:rsidR="00B22B7B" w:rsidRPr="00C907C9">
        <w:t xml:space="preserve"> το</w:t>
      </w:r>
      <w:r w:rsidR="00317540" w:rsidRPr="00C907C9">
        <w:t xml:space="preserve"> 4</w:t>
      </w:r>
      <w:r w:rsidR="00403809" w:rsidRPr="00C907C9">
        <w:t>4</w:t>
      </w:r>
      <w:r w:rsidR="00317540" w:rsidRPr="00C907C9">
        <w:t xml:space="preserve">%. </w:t>
      </w:r>
      <w:r w:rsidR="001142FF" w:rsidRPr="00C907C9">
        <w:lastRenderedPageBreak/>
        <w:t xml:space="preserve">Επιπλέον, </w:t>
      </w:r>
      <w:r w:rsidR="008016AF" w:rsidRPr="00C907C9">
        <w:t>η Πορτογαλία, επ</w:t>
      </w:r>
      <w:r w:rsidR="003B7390" w:rsidRPr="00C907C9">
        <w:t>ένδυσε</w:t>
      </w:r>
      <w:r w:rsidR="008016AF" w:rsidRPr="00C907C9">
        <w:t xml:space="preserve"> σε υποδομές αντλησιοταμίευσης το 2022-2023,</w:t>
      </w:r>
      <w:r w:rsidR="003B7390" w:rsidRPr="00C907C9">
        <w:t xml:space="preserve"> ενώ στην Ελλάδα, δεν έ</w:t>
      </w:r>
      <w:r w:rsidR="00A35EE6" w:rsidRPr="00C907C9">
        <w:t xml:space="preserve">χει λάβει </w:t>
      </w:r>
      <w:r w:rsidR="003B7390" w:rsidRPr="00C907C9">
        <w:t>χώρα καμία πρόοδος στην αποθήκευση</w:t>
      </w:r>
      <w:r w:rsidR="00A35EE6" w:rsidRPr="00C907C9">
        <w:t xml:space="preserve"> </w:t>
      </w:r>
      <w:r w:rsidR="001142FF" w:rsidRPr="00C907C9">
        <w:t xml:space="preserve">συνολικά </w:t>
      </w:r>
      <w:r w:rsidR="00A35EE6" w:rsidRPr="00C907C9">
        <w:t xml:space="preserve">ως σήμερα.  </w:t>
      </w:r>
    </w:p>
    <w:p w14:paraId="24E30A5E" w14:textId="77777777" w:rsidR="004A01FD" w:rsidRPr="00C907C9" w:rsidRDefault="004A01FD" w:rsidP="00BD19DE">
      <w:pPr>
        <w:spacing w:after="0"/>
      </w:pPr>
    </w:p>
    <w:p w14:paraId="4DEDCD03" w14:textId="1DF070FC" w:rsidR="008016AF" w:rsidRPr="00C907C9" w:rsidRDefault="00A35EE6" w:rsidP="00BD19DE">
      <w:pPr>
        <w:spacing w:after="0"/>
      </w:pPr>
      <w:r w:rsidRPr="002044C2">
        <w:t xml:space="preserve">Έτσι, οι τιμές της προημερησίας αγοράς της Ελλάδας κυμάνθηκαν κατά μέσο όρο 36% υψηλότερα από τις αντίστοιχες της Πορτογαλίας, </w:t>
      </w:r>
      <w:r w:rsidR="001142FF" w:rsidRPr="002044C2">
        <w:t xml:space="preserve">ενώ παράλληλα η Πορτογαλία κατόρθωσε να </w:t>
      </w:r>
      <w:r w:rsidR="008016AF" w:rsidRPr="002044C2">
        <w:t>προστ</w:t>
      </w:r>
      <w:r w:rsidR="001142FF" w:rsidRPr="002044C2">
        <w:t>ατεύσει</w:t>
      </w:r>
      <w:r w:rsidR="008016AF" w:rsidRPr="002044C2">
        <w:t xml:space="preserve"> την αγορά από ακραίες διακυμάνσεις τιμών</w:t>
      </w:r>
      <w:r w:rsidR="001142FF" w:rsidRPr="002044C2">
        <w:t xml:space="preserve">. </w:t>
      </w:r>
      <w:r w:rsidR="008016AF" w:rsidRPr="002044C2">
        <w:t>Αντίθετα</w:t>
      </w:r>
      <w:r w:rsidR="001142FF" w:rsidRPr="002044C2">
        <w:t>, στην Ελλάδα</w:t>
      </w:r>
      <w:r w:rsidR="008016AF" w:rsidRPr="002044C2">
        <w:t xml:space="preserve"> τα τελευταία δύο έτη </w:t>
      </w:r>
      <w:r w:rsidR="001142FF" w:rsidRPr="002044C2">
        <w:t>σημειώ</w:t>
      </w:r>
      <w:r w:rsidR="009428DA" w:rsidRPr="002044C2">
        <w:t>νονται πολύ υψηλότερες</w:t>
      </w:r>
      <w:r w:rsidR="008016AF" w:rsidRPr="002044C2">
        <w:t xml:space="preserve"> τι</w:t>
      </w:r>
      <w:r w:rsidR="009428DA" w:rsidRPr="002044C2">
        <w:t>μές</w:t>
      </w:r>
      <w:r w:rsidR="008016AF" w:rsidRPr="002044C2">
        <w:t xml:space="preserve"> </w:t>
      </w:r>
      <w:r w:rsidR="004A01FD" w:rsidRPr="002044C2">
        <w:t>που χαρακτηρίζονται και από</w:t>
      </w:r>
      <w:r w:rsidR="008016AF" w:rsidRPr="002044C2">
        <w:t xml:space="preserve"> </w:t>
      </w:r>
      <w:r w:rsidR="003A1118" w:rsidRPr="002044C2">
        <w:t xml:space="preserve">υψηλή </w:t>
      </w:r>
      <w:r w:rsidR="008016AF" w:rsidRPr="002044C2">
        <w:t xml:space="preserve">μεταβλητότητα. </w:t>
      </w:r>
      <w:r w:rsidR="009428DA" w:rsidRPr="002044C2">
        <w:t xml:space="preserve">Συγκεκριμένα, στην Ελλάδα </w:t>
      </w:r>
      <w:r w:rsidR="00F966C0" w:rsidRPr="002044C2">
        <w:t xml:space="preserve">οι ωριαίες τιμές </w:t>
      </w:r>
      <w:r w:rsidR="009428DA" w:rsidRPr="002044C2">
        <w:t>στην προημερ</w:t>
      </w:r>
      <w:r w:rsidR="000748E9" w:rsidRPr="002044C2">
        <w:t>ή</w:t>
      </w:r>
      <w:r w:rsidR="009428DA" w:rsidRPr="002044C2">
        <w:t>σ</w:t>
      </w:r>
      <w:r w:rsidR="000748E9" w:rsidRPr="002044C2">
        <w:t>ι</w:t>
      </w:r>
      <w:r w:rsidR="009428DA" w:rsidRPr="002044C2">
        <w:t xml:space="preserve">α αγορά </w:t>
      </w:r>
      <w:r w:rsidR="00F966C0" w:rsidRPr="002044C2">
        <w:t>δια</w:t>
      </w:r>
      <w:r w:rsidR="009428DA" w:rsidRPr="002044C2">
        <w:t>κυμάνθηκ</w:t>
      </w:r>
      <w:r w:rsidR="00F966C0" w:rsidRPr="002044C2">
        <w:t>αν</w:t>
      </w:r>
      <w:r w:rsidR="009428DA" w:rsidRPr="002044C2">
        <w:t xml:space="preserve"> μεταξύ 128 €/ΜWh (Φεβρουάριος 2024) και 942 €/ΜWh (Σεπτέμβριος 2024), ενώ στην Πορτογαλία από 105 €/ΜWh (Απρίλιος 2024) σε 236 €/ΜWh (Φεβρουάριος 2025).</w:t>
      </w:r>
    </w:p>
    <w:p w14:paraId="03C5E19C" w14:textId="77777777" w:rsidR="000C0393" w:rsidRPr="00C907C9" w:rsidRDefault="000C0393" w:rsidP="00BD19DE">
      <w:pPr>
        <w:spacing w:after="0"/>
      </w:pPr>
    </w:p>
    <w:p w14:paraId="63CC20D8" w14:textId="613F6FBC" w:rsidR="000C0393" w:rsidRPr="00C907C9" w:rsidRDefault="00B01269" w:rsidP="00BD19DE">
      <w:pPr>
        <w:spacing w:after="0"/>
      </w:pPr>
      <w:r w:rsidRPr="00C907C9">
        <w:t>Συνεπώς, η</w:t>
      </w:r>
      <w:r w:rsidR="000C0393" w:rsidRPr="00C907C9">
        <w:t xml:space="preserve"> τρέχουσα ενεργειακή πολιτική της Ελλάδας</w:t>
      </w:r>
      <w:r w:rsidR="00722253" w:rsidRPr="00722253">
        <w:t>,</w:t>
      </w:r>
      <w:r w:rsidR="000C0393" w:rsidRPr="00C907C9">
        <w:t xml:space="preserve"> που δίνει στο ορυκτό αέριο κεντρικό ρόλο στην ηλεκτροπαραγωγή</w:t>
      </w:r>
      <w:r w:rsidR="00722253" w:rsidRPr="00722253">
        <w:t>,</w:t>
      </w:r>
      <w:r w:rsidRPr="00C907C9">
        <w:t xml:space="preserve"> και παρουσιάζει σημαντικές καθυστερήσεις στην </w:t>
      </w:r>
      <w:r w:rsidR="00315CDD" w:rsidRPr="00C907C9">
        <w:t>εγκατάσταση υποδομών αποθήκευσης</w:t>
      </w:r>
      <w:r w:rsidR="000C0393" w:rsidRPr="00C907C9">
        <w:t>, περιορίζει τη δυνατότητα αξιοποίησης των θετικών επιδράσεων των ΑΠΕ</w:t>
      </w:r>
      <w:r w:rsidR="00315CDD" w:rsidRPr="00C907C9">
        <w:t>,</w:t>
      </w:r>
      <w:r w:rsidR="000C0393" w:rsidRPr="00C907C9">
        <w:t xml:space="preserve"> διατηρώντας τις τιμές στην </w:t>
      </w:r>
      <w:r w:rsidR="000457F8" w:rsidRPr="00C907C9">
        <w:t xml:space="preserve">προημερήσια </w:t>
      </w:r>
      <w:r w:rsidR="000C0393" w:rsidRPr="00C907C9">
        <w:t xml:space="preserve">αγορά </w:t>
      </w:r>
      <w:r w:rsidR="00A25BAC" w:rsidRPr="00C907C9">
        <w:t xml:space="preserve">ηλεκτρισμού </w:t>
      </w:r>
      <w:r w:rsidR="000C0393" w:rsidRPr="00C907C9">
        <w:t>σε υψηλά επίπεδα</w:t>
      </w:r>
      <w:r w:rsidR="00906493" w:rsidRPr="00C907C9">
        <w:t xml:space="preserve"> και με υψηλές διακυμάνσεις</w:t>
      </w:r>
      <w:r w:rsidR="000C0393" w:rsidRPr="00C907C9">
        <w:t>.</w:t>
      </w:r>
    </w:p>
    <w:p w14:paraId="3BCEF0F0" w14:textId="77777777" w:rsidR="000C0393" w:rsidRPr="00C907C9" w:rsidRDefault="000C0393" w:rsidP="00BD19DE">
      <w:pPr>
        <w:spacing w:after="0"/>
      </w:pPr>
    </w:p>
    <w:p w14:paraId="12019D86" w14:textId="5305580C" w:rsidR="00441A84" w:rsidRPr="00C907C9" w:rsidRDefault="00315CDD" w:rsidP="00BD19DE">
      <w:pPr>
        <w:spacing w:after="0"/>
      </w:pPr>
      <w:r w:rsidRPr="00C907C9">
        <w:t>Α</w:t>
      </w:r>
      <w:r w:rsidR="00B07FC6" w:rsidRPr="00C907C9">
        <w:t xml:space="preserve">ντί </w:t>
      </w:r>
      <w:r w:rsidR="004C7202" w:rsidRPr="00C907C9">
        <w:t xml:space="preserve">λοιπόν </w:t>
      </w:r>
      <w:r w:rsidR="00B07FC6" w:rsidRPr="00C907C9">
        <w:t>για τη</w:t>
      </w:r>
      <w:r w:rsidR="00E74333">
        <w:t>ν</w:t>
      </w:r>
      <w:r w:rsidR="004C7202" w:rsidRPr="00C907C9">
        <w:t xml:space="preserve"> </w:t>
      </w:r>
      <w:r w:rsidR="002755F6">
        <w:t>απρόσκοπτη</w:t>
      </w:r>
      <w:r w:rsidR="00E0719D" w:rsidRPr="00E0719D">
        <w:t xml:space="preserve"> </w:t>
      </w:r>
      <w:r w:rsidR="00B07FC6" w:rsidRPr="00C907C9">
        <w:t>προώθηση νέων μονάδων ορυκτού αερίου</w:t>
      </w:r>
      <w:r w:rsidR="004C7202" w:rsidRPr="00C907C9">
        <w:t xml:space="preserve"> που </w:t>
      </w:r>
      <w:r w:rsidR="00213199" w:rsidRPr="00C907C9">
        <w:t>έως σήμερα</w:t>
      </w:r>
      <w:r w:rsidR="004C7202" w:rsidRPr="00C907C9">
        <w:t xml:space="preserve"> αποτελεί</w:t>
      </w:r>
      <w:r w:rsidR="00C4429C" w:rsidRPr="00C907C9">
        <w:t xml:space="preserve"> κεντρική πολιτική επιλογή</w:t>
      </w:r>
      <w:r w:rsidR="00B07FC6" w:rsidRPr="00C907C9">
        <w:t xml:space="preserve">, ο </w:t>
      </w:r>
      <w:r w:rsidR="00470979" w:rsidRPr="00C907C9">
        <w:t xml:space="preserve">συνδυασμός υποδομών </w:t>
      </w:r>
      <w:r w:rsidR="00B01269" w:rsidRPr="00C907C9">
        <w:t xml:space="preserve">ΑΠΕ </w:t>
      </w:r>
      <w:r w:rsidR="00470979" w:rsidRPr="00C907C9">
        <w:t xml:space="preserve">και αποθήκευσης </w:t>
      </w:r>
      <w:r w:rsidR="00B01269" w:rsidRPr="00C907C9">
        <w:t xml:space="preserve">ενέργειας </w:t>
      </w:r>
      <w:r w:rsidR="00846938" w:rsidRPr="00C907C9">
        <w:t xml:space="preserve">μπορεί </w:t>
      </w:r>
      <w:r w:rsidR="00386631" w:rsidRPr="00C907C9">
        <w:t>και πρέπει να αποτελέσει τον βασικό μοχλό</w:t>
      </w:r>
      <w:r w:rsidR="0064308A" w:rsidRPr="00C907C9">
        <w:t xml:space="preserve"> για ουσιαστική</w:t>
      </w:r>
      <w:r w:rsidR="00F02A68" w:rsidRPr="00C907C9">
        <w:t xml:space="preserve"> και μακροπρόθεσμη μείωση των τιμών ηλεκτρικής ενέργειας</w:t>
      </w:r>
      <w:r w:rsidR="00C4429C" w:rsidRPr="00C907C9">
        <w:t xml:space="preserve"> στην Ελλάδα</w:t>
      </w:r>
      <w:r w:rsidR="00F02A68" w:rsidRPr="00C907C9">
        <w:t>.</w:t>
      </w:r>
    </w:p>
    <w:p w14:paraId="12B4CD9C" w14:textId="77777777" w:rsidR="00F20453" w:rsidRPr="00C907C9" w:rsidRDefault="00F20453" w:rsidP="00BD19DE">
      <w:pPr>
        <w:pStyle w:val="ListParagraph"/>
        <w:spacing w:after="0"/>
      </w:pPr>
    </w:p>
    <w:p w14:paraId="6477E7A2" w14:textId="77777777" w:rsidR="00A90D3F" w:rsidRPr="00C907C9" w:rsidRDefault="00A90D3F" w:rsidP="00A90D3F"/>
    <w:p w14:paraId="600F7C54" w14:textId="77777777" w:rsidR="005A2889" w:rsidRPr="00C907C9" w:rsidRDefault="00A90D3F" w:rsidP="005A2889">
      <w:pPr>
        <w:rPr>
          <w:rFonts w:asciiTheme="minorHAnsi" w:hAnsiTheme="minorHAnsi"/>
        </w:rPr>
      </w:pPr>
      <w:r w:rsidRPr="00C907C9">
        <w:br w:type="page"/>
      </w:r>
    </w:p>
    <w:p w14:paraId="4D217D2E" w14:textId="6E209A89" w:rsidR="005A2889" w:rsidRPr="00C907C9" w:rsidRDefault="0016595F" w:rsidP="005A2889">
      <w:pPr>
        <w:pStyle w:val="Del-plaintext"/>
        <w:spacing w:before="120" w:line="276" w:lineRule="auto"/>
        <w:rPr>
          <w:rFonts w:asciiTheme="minorHAnsi" w:hAnsiTheme="minorHAnsi"/>
        </w:rPr>
      </w:pPr>
      <w:r w:rsidRPr="00C907C9">
        <w:rPr>
          <w:rFonts w:ascii="Trebuchet MS" w:hAnsi="Trebuchet MS"/>
          <w:noProof/>
        </w:rPr>
        <w:lastRenderedPageBreak/>
        <w:drawing>
          <wp:anchor distT="0" distB="0" distL="114300" distR="114300" simplePos="0" relativeHeight="251658241" behindDoc="0" locked="0" layoutInCell="1" allowOverlap="1" wp14:anchorId="73D57AF1" wp14:editId="49CA691A">
            <wp:simplePos x="0" y="0"/>
            <wp:positionH relativeFrom="margin">
              <wp:align>center</wp:align>
            </wp:positionH>
            <wp:positionV relativeFrom="paragraph">
              <wp:posOffset>3247390</wp:posOffset>
            </wp:positionV>
            <wp:extent cx="1278000" cy="1022400"/>
            <wp:effectExtent l="0" t="0" r="0" b="6350"/>
            <wp:wrapNone/>
            <wp:docPr id="107479928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68456" nam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278000" cy="1022400"/>
                    </a:xfrm>
                    <a:prstGeom prst="rect">
                      <a:avLst/>
                    </a:prstGeom>
                  </pic:spPr>
                </pic:pic>
              </a:graphicData>
            </a:graphic>
            <wp14:sizeRelH relativeFrom="margin">
              <wp14:pctWidth>0</wp14:pctWidth>
            </wp14:sizeRelH>
            <wp14:sizeRelV relativeFrom="margin">
              <wp14:pctHeight>0</wp14:pctHeight>
            </wp14:sizeRelV>
          </wp:anchor>
        </w:drawing>
      </w:r>
      <w:r w:rsidR="005A2889" w:rsidRPr="00C907C9">
        <w:rPr>
          <w:rFonts w:asciiTheme="minorHAnsi" w:hAnsiTheme="minorHAnsi"/>
          <w:noProof/>
        </w:rPr>
        <mc:AlternateContent>
          <mc:Choice Requires="wps">
            <w:drawing>
              <wp:anchor distT="0" distB="0" distL="114300" distR="114300" simplePos="0" relativeHeight="251658240" behindDoc="0" locked="0" layoutInCell="1" allowOverlap="1" wp14:anchorId="69D9EC1E" wp14:editId="6844339B">
                <wp:simplePos x="0" y="0"/>
                <wp:positionH relativeFrom="page">
                  <wp:align>left</wp:align>
                </wp:positionH>
                <wp:positionV relativeFrom="paragraph">
                  <wp:posOffset>-966829</wp:posOffset>
                </wp:positionV>
                <wp:extent cx="8215630" cy="11879248"/>
                <wp:effectExtent l="0" t="0" r="0" b="8255"/>
                <wp:wrapNone/>
                <wp:docPr id="1" name="Graphic 1"/>
                <wp:cNvGraphicFramePr/>
                <a:graphic xmlns:a="http://schemas.openxmlformats.org/drawingml/2006/main">
                  <a:graphicData uri="http://schemas.microsoft.com/office/word/2010/wordprocessingShape">
                    <wps:wsp>
                      <wps:cNvSpPr/>
                      <wps:spPr>
                        <a:xfrm>
                          <a:off x="0" y="0"/>
                          <a:ext cx="8215630" cy="11879248"/>
                        </a:xfrm>
                        <a:custGeom>
                          <a:avLst/>
                          <a:gdLst>
                            <a:gd name="connsiteX0" fmla="*/ 0 w 7983827"/>
                            <a:gd name="connsiteY0" fmla="*/ 0 h 10739189"/>
                            <a:gd name="connsiteX1" fmla="*/ 7983828 w 7983827"/>
                            <a:gd name="connsiteY1" fmla="*/ 0 h 10739189"/>
                            <a:gd name="connsiteX2" fmla="*/ 7983828 w 7983827"/>
                            <a:gd name="connsiteY2" fmla="*/ 10739190 h 10739189"/>
                            <a:gd name="connsiteX3" fmla="*/ 0 w 7983827"/>
                            <a:gd name="connsiteY3" fmla="*/ 10739190 h 10739189"/>
                          </a:gdLst>
                          <a:ahLst/>
                          <a:cxnLst>
                            <a:cxn ang="0">
                              <a:pos x="connsiteX0" y="connsiteY0"/>
                            </a:cxn>
                            <a:cxn ang="0">
                              <a:pos x="connsiteX1" y="connsiteY1"/>
                            </a:cxn>
                            <a:cxn ang="0">
                              <a:pos x="connsiteX2" y="connsiteY2"/>
                            </a:cxn>
                            <a:cxn ang="0">
                              <a:pos x="connsiteX3" y="connsiteY3"/>
                            </a:cxn>
                          </a:cxnLst>
                          <a:rect l="l" t="t" r="r" b="b"/>
                          <a:pathLst>
                            <a:path w="7983827" h="10739189">
                              <a:moveTo>
                                <a:pt x="0" y="0"/>
                              </a:moveTo>
                              <a:lnTo>
                                <a:pt x="7983828" y="0"/>
                              </a:lnTo>
                              <a:lnTo>
                                <a:pt x="7983828" y="10739190"/>
                              </a:lnTo>
                              <a:lnTo>
                                <a:pt x="0" y="10739190"/>
                              </a:lnTo>
                              <a:close/>
                            </a:path>
                          </a:pathLst>
                        </a:custGeom>
                        <a:solidFill>
                          <a:srgbClr val="8DC63F"/>
                        </a:solidFill>
                        <a:ln w="3302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9DD2E" id="Graphic 1" o:spid="_x0000_s1026" style="position:absolute;margin-left:0;margin-top:-76.15pt;width:646.9pt;height:935.3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983827,1073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ZRPAMAAD0IAAAOAAAAZHJzL2Uyb0RvYy54bWysVVtv0zAUfkfiP1h+RGK5dKxptRZVm4aQ&#10;Jpi0oY1H13GaSI5tbPcyfj2fnWYNg2kb4sU5zrl/5/ic04+7VpKNsK7Rakazo5QSobguG7Wa0W83&#10;F+8LSpxnqmRSKzGj98LRj/O3b063ZipyXWtZCktgRLnp1sxo7b2ZJonjtWiZO9JGKDArbVvmcbWr&#10;pLRsC+utTPI0PUm22pbGai6cw9/zjknn0X5VCe6/VpUTnsgZRWw+njaey3Am81M2XVlm6obvw2D/&#10;EEXLGgWnD6bOmWdkbZs/TLUNt9rpyh9x3Sa6qhouYg7IJksfZXNdMyNiLgDHmQeY3P8zy79srs2V&#10;BQxb46YOZMhiV9k2fBEf2UWw7h/AEjtPOH4WefbhZARMOXhZVown+XER8EwO+nzt/Cehoy22uXS+&#10;g7sEFcEqiWItuoJrpVzjxR3MVa1EBd4lJCVbMp4UoyIf78v0WPz77+I1ydLxaJIVkyfk77KB+c50&#10;8byToVJKnneS/4uToVKXxeQlvkYDXy/Aayj+hBdUb9XXh9V9yfhO7WsGirDwuNPY70a70CHDAqId&#10;+isK1DUEtELBn1EG0kPl7FXKQHConL9KGcAMlUdDZSBySN9iooRZIuMs8ZRgllhKMEuWQYdNDfMB&#10;tZ4k2xntm5jUeCh9hwaBVm/EjY6i/tE7g9MDV6qh1L5xY8Q9vr1E/zXR3lCyL/c+s16w/3YKeE+A&#10;4QlRLrUTXTlDkvGhP2QbQBo8dqdlU140UobknF0tz6QlGwbgivOzk9HFPorfxKQKYI1GaY5qcIZl&#10;UEnmY5cpHWx1+Frnz5mrO2vRQAd8i/lhu/Akmi05zLNALXV5f2WJ1d0GcIZfNLB0yZy/YhYDB6lj&#10;jfmvOCqpEQhqEylKam1//u1/kMckBpeSLVbIjLofa2YFJfKzwoyeZMfHMOvj5fjDOMfFDjnLIUet&#10;2zMNgPAIEF0kg7yXPVlZ3d5i2y2CV7CY4vCNx+bRgN3lzOMOFvYlF4tFpLFnUKVLdW14MB67DZnf&#10;7G6ZNcSAnFGPof5F9+uGTftZjaoGgU42aCq9WHtdNWGQR4Q7XPcX7KjYFft9Gpbg8B6lDlt//gsA&#10;AP//AwBQSwMEFAAGAAgAAAAhAFGOTWzgAAAACwEAAA8AAABkcnMvZG93bnJldi54bWxMj8FOwzAM&#10;hu9IvENkJG5b0m6MUppOgAQXJg0GElevCW21xqmabC1vj3eCm63f+v19xXpynTjZIbSeNCRzBcJS&#10;5U1LtYbPj+dZBiJEJIOdJ6vhxwZYl5cXBebGj/RuT7tYCy6hkKOGJsY+lzJUjXUY5r63xNm3HxxG&#10;XodamgFHLnedTJVaSYct8YcGe/vU2OqwOzoNTm230b1+vai3zWPEbIn+MK60vr6aHu5BRDvFv2M4&#10;4zM6lMy090cyQXQaWCRqmCU36QLEOU/vFuyy5+k2yZYgy0L+dyh/AQAA//8DAFBLAQItABQABgAI&#10;AAAAIQC2gziS/gAAAOEBAAATAAAAAAAAAAAAAAAAAAAAAABbQ29udGVudF9UeXBlc10ueG1sUEsB&#10;Ai0AFAAGAAgAAAAhADj9If/WAAAAlAEAAAsAAAAAAAAAAAAAAAAALwEAAF9yZWxzLy5yZWxzUEsB&#10;Ai0AFAAGAAgAAAAhAOClRlE8AwAAPQgAAA4AAAAAAAAAAAAAAAAALgIAAGRycy9lMm9Eb2MueG1s&#10;UEsBAi0AFAAGAAgAAAAhAFGOTWzgAAAACwEAAA8AAAAAAAAAAAAAAAAAlgUAAGRycy9kb3ducmV2&#10;LnhtbFBLBQYAAAAABAAEAPMAAACjBgAAAAA=&#10;" path="m,l7983828,r,10739190l,10739190,,xe" fillcolor="#8dc63f" stroked="f" strokeweight=".91731mm">
                <v:stroke joinstyle="miter"/>
                <v:path arrowok="t" o:connecttype="custom" o:connectlocs="0,0;8215631,0;8215631,11879249;0,11879249" o:connectangles="0,0,0,0"/>
                <w10:wrap anchorx="page"/>
              </v:shape>
            </w:pict>
          </mc:Fallback>
        </mc:AlternateContent>
      </w:r>
    </w:p>
    <w:p w14:paraId="544C600B" w14:textId="18CC1F50" w:rsidR="00A90D3F" w:rsidRPr="00966D51" w:rsidRDefault="00A90D3F" w:rsidP="005A2889">
      <w:pPr>
        <w:spacing w:after="160"/>
        <w:jc w:val="left"/>
      </w:pPr>
    </w:p>
    <w:sectPr w:rsidR="00A90D3F" w:rsidRPr="00966D51" w:rsidSect="002552C8">
      <w:footerReference w:type="default" r:id="rId17"/>
      <w:headerReference w:type="first" r:id="rId18"/>
      <w:pgSz w:w="11906" w:h="16838" w:code="9"/>
      <w:pgMar w:top="1440" w:right="1440" w:bottom="1440" w:left="1440" w:header="709" w:footer="1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55CD" w14:textId="77777777" w:rsidR="00187D92" w:rsidRPr="00C907C9" w:rsidRDefault="00187D92" w:rsidP="00836B32">
      <w:pPr>
        <w:spacing w:line="240" w:lineRule="auto"/>
      </w:pPr>
      <w:r w:rsidRPr="00C907C9">
        <w:separator/>
      </w:r>
    </w:p>
  </w:endnote>
  <w:endnote w:type="continuationSeparator" w:id="0">
    <w:p w14:paraId="7A26F2D9" w14:textId="77777777" w:rsidR="00187D92" w:rsidRPr="00C907C9" w:rsidRDefault="00187D92" w:rsidP="00836B32">
      <w:pPr>
        <w:spacing w:line="240" w:lineRule="auto"/>
      </w:pPr>
      <w:r w:rsidRPr="00C907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AA2E" w14:textId="02028BFB" w:rsidR="004834D4" w:rsidRPr="00C907C9" w:rsidRDefault="00DC476A">
    <w:pPr>
      <w:pStyle w:val="Footer"/>
      <w:jc w:val="right"/>
      <w:rPr>
        <w:color w:val="FFFFFF"/>
      </w:rPr>
    </w:pPr>
    <w:r w:rsidRPr="008150AF">
      <w:rPr>
        <w:noProof/>
      </w:rPr>
      <w:drawing>
        <wp:anchor distT="0" distB="0" distL="114300" distR="114300" simplePos="0" relativeHeight="251658241" behindDoc="0" locked="0" layoutInCell="1" allowOverlap="1" wp14:anchorId="36C0C433" wp14:editId="1C33A2DB">
          <wp:simplePos x="0" y="0"/>
          <wp:positionH relativeFrom="leftMargin">
            <wp:posOffset>914400</wp:posOffset>
          </wp:positionH>
          <wp:positionV relativeFrom="page">
            <wp:posOffset>10092690</wp:posOffset>
          </wp:positionV>
          <wp:extent cx="463550" cy="371475"/>
          <wp:effectExtent l="0" t="0" r="0" b="9525"/>
          <wp:wrapNone/>
          <wp:docPr id="2086688311" name="Graphic 2086688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0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63550" cy="371475"/>
                  </a:xfrm>
                  <a:prstGeom prst="rect">
                    <a:avLst/>
                  </a:prstGeom>
                </pic:spPr>
              </pic:pic>
            </a:graphicData>
          </a:graphic>
        </wp:anchor>
      </w:drawing>
    </w:r>
    <w:r w:rsidR="000C3D85" w:rsidRPr="008150AF">
      <w:rPr>
        <w:noProof/>
        <w:color w:val="FFFFFF"/>
      </w:rPr>
      <w:drawing>
        <wp:anchor distT="0" distB="0" distL="114300" distR="114300" simplePos="0" relativeHeight="251658240" behindDoc="1" locked="0" layoutInCell="1" allowOverlap="1" wp14:anchorId="29EA0BDE" wp14:editId="35F31F75">
          <wp:simplePos x="0" y="0"/>
          <wp:positionH relativeFrom="page">
            <wp:posOffset>-122555</wp:posOffset>
          </wp:positionH>
          <wp:positionV relativeFrom="paragraph">
            <wp:posOffset>-266700</wp:posOffset>
          </wp:positionV>
          <wp:extent cx="7740000" cy="1033200"/>
          <wp:effectExtent l="0" t="0" r="0" b="0"/>
          <wp:wrapNone/>
          <wp:docPr id="562367879" name="Graphic 56236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72676"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740000" cy="1033200"/>
                  </a:xfrm>
                  <a:prstGeom prst="rect">
                    <a:avLst/>
                  </a:prstGeom>
                </pic:spPr>
              </pic:pic>
            </a:graphicData>
          </a:graphic>
          <wp14:sizeRelH relativeFrom="margin">
            <wp14:pctWidth>0</wp14:pctWidth>
          </wp14:sizeRelH>
          <wp14:sizeRelV relativeFrom="margin">
            <wp14:pctHeight>0</wp14:pctHeight>
          </wp14:sizeRelV>
        </wp:anchor>
      </w:drawing>
    </w:r>
    <w:sdt>
      <w:sdtPr>
        <w:rPr>
          <w:color w:val="FFFFFF"/>
        </w:rPr>
        <w:id w:val="-1967269427"/>
        <w:docPartObj>
          <w:docPartGallery w:val="Page Numbers (Bottom of Page)"/>
          <w:docPartUnique/>
        </w:docPartObj>
      </w:sdtPr>
      <w:sdtContent>
        <w:r w:rsidR="004834D4" w:rsidRPr="008150AF">
          <w:rPr>
            <w:color w:val="FFFFFF"/>
          </w:rPr>
          <w:fldChar w:fldCharType="begin"/>
        </w:r>
        <w:r w:rsidR="004834D4" w:rsidRPr="00C907C9">
          <w:rPr>
            <w:color w:val="FFFFFF"/>
          </w:rPr>
          <w:instrText xml:space="preserve"> PAGE   \* MERGEFORMAT </w:instrText>
        </w:r>
        <w:r w:rsidR="004834D4" w:rsidRPr="008150AF">
          <w:rPr>
            <w:color w:val="FFFFFF"/>
          </w:rPr>
          <w:fldChar w:fldCharType="separate"/>
        </w:r>
        <w:r w:rsidR="004834D4" w:rsidRPr="008150AF">
          <w:rPr>
            <w:color w:val="FFFFFF"/>
          </w:rPr>
          <w:t>2</w:t>
        </w:r>
        <w:r w:rsidR="004834D4" w:rsidRPr="008150AF">
          <w:rPr>
            <w:color w:val="FFFFFF"/>
          </w:rPr>
          <w:fldChar w:fldCharType="end"/>
        </w:r>
      </w:sdtContent>
    </w:sdt>
  </w:p>
  <w:p w14:paraId="2992DD50" w14:textId="2ACD662E" w:rsidR="001921AE" w:rsidRPr="00C907C9" w:rsidRDefault="001921AE">
    <w:pPr>
      <w:pStyle w:val="Foo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9EA4" w14:textId="77777777" w:rsidR="00187D92" w:rsidRPr="00C907C9" w:rsidRDefault="00187D92" w:rsidP="00836B32">
      <w:pPr>
        <w:spacing w:line="240" w:lineRule="auto"/>
      </w:pPr>
      <w:r w:rsidRPr="00C907C9">
        <w:separator/>
      </w:r>
    </w:p>
  </w:footnote>
  <w:footnote w:type="continuationSeparator" w:id="0">
    <w:p w14:paraId="5FE73E11" w14:textId="77777777" w:rsidR="00187D92" w:rsidRPr="00C907C9" w:rsidRDefault="00187D92" w:rsidP="00836B32">
      <w:pPr>
        <w:spacing w:line="240" w:lineRule="auto"/>
      </w:pPr>
      <w:r w:rsidRPr="00C907C9">
        <w:continuationSeparator/>
      </w:r>
    </w:p>
  </w:footnote>
  <w:footnote w:id="1">
    <w:p w14:paraId="516F28D1" w14:textId="6CEFC784" w:rsidR="00993A32" w:rsidRPr="00C907C9" w:rsidRDefault="00993A32">
      <w:pPr>
        <w:pStyle w:val="FootnoteText"/>
      </w:pPr>
      <w:r w:rsidRPr="00C907C9">
        <w:rPr>
          <w:rStyle w:val="FootnoteReference"/>
        </w:rPr>
        <w:footnoteRef/>
      </w:r>
      <w:r w:rsidRPr="00C907C9">
        <w:t xml:space="preserve"> </w:t>
      </w:r>
      <w:r w:rsidR="00214AFC" w:rsidRPr="00C907C9">
        <w:t>Συγκρίνοντας τις χώρες τις ΕΕ-27</w:t>
      </w:r>
      <w:r w:rsidR="008C7478" w:rsidRPr="00C907C9">
        <w:t>, με βάση τη μέση τιμή</w:t>
      </w:r>
      <w:r w:rsidR="00375056" w:rsidRPr="00C907C9">
        <w:t xml:space="preserve"> </w:t>
      </w:r>
      <w:r w:rsidR="008D1600" w:rsidRPr="00C907C9">
        <w:t xml:space="preserve">στην αγορά επόμενης ημέρας </w:t>
      </w:r>
      <w:r w:rsidR="005573C9" w:rsidRPr="00C907C9">
        <w:t xml:space="preserve">χρησιμοποιώντας </w:t>
      </w:r>
      <w:r w:rsidR="00A81154" w:rsidRPr="00C907C9">
        <w:t xml:space="preserve">δεδομένα από </w:t>
      </w:r>
      <w:r w:rsidR="00A81154" w:rsidRPr="008150AF">
        <w:t>ENTSO</w:t>
      </w:r>
      <w:r w:rsidR="00A81154" w:rsidRPr="00C907C9">
        <w:t>-</w:t>
      </w:r>
      <w:r w:rsidR="00A81154" w:rsidRPr="008150AF">
        <w:t>E</w:t>
      </w:r>
      <w:r w:rsidR="00A81154" w:rsidRPr="00C907C9">
        <w:t xml:space="preserve"> </w:t>
      </w:r>
      <w:r w:rsidR="00C00E2F" w:rsidRPr="00C907C9">
        <w:t xml:space="preserve">σε μηνιαία ανάλυση από Ember: </w:t>
      </w:r>
      <w:hyperlink r:id="rId1" w:history="1">
        <w:r w:rsidR="007915CB" w:rsidRPr="00C907C9">
          <w:rPr>
            <w:rStyle w:val="Hyperlink"/>
          </w:rPr>
          <w:t>https://bit.ly/4i4iT1v</w:t>
        </w:r>
      </w:hyperlink>
    </w:p>
  </w:footnote>
  <w:footnote w:id="2">
    <w:p w14:paraId="24CDD471" w14:textId="0FDEC0D3" w:rsidR="003E6C28" w:rsidRPr="00C907C9" w:rsidRDefault="003E6C28">
      <w:pPr>
        <w:pStyle w:val="FootnoteText"/>
      </w:pPr>
      <w:r w:rsidRPr="00C907C9">
        <w:rPr>
          <w:rStyle w:val="FootnoteReference"/>
        </w:rPr>
        <w:footnoteRef/>
      </w:r>
      <w:r w:rsidRPr="00C907C9">
        <w:t xml:space="preserve"> </w:t>
      </w:r>
      <w:r w:rsidR="009837B0" w:rsidRPr="00C907C9">
        <w:t xml:space="preserve">ΡΑΑΕΥ </w:t>
      </w:r>
      <w:r w:rsidR="00AC51B0" w:rsidRPr="00C907C9">
        <w:t xml:space="preserve">– Σύγκριση Τιμών Ενέργειας: </w:t>
      </w:r>
      <w:hyperlink r:id="rId2" w:history="1">
        <w:r w:rsidR="006256C8" w:rsidRPr="00C907C9">
          <w:rPr>
            <w:rStyle w:val="Hyperlink"/>
          </w:rPr>
          <w:t>energycost.gr</w:t>
        </w:r>
      </w:hyperlink>
    </w:p>
  </w:footnote>
  <w:footnote w:id="3">
    <w:p w14:paraId="54EF69A2" w14:textId="35BE3DAC" w:rsidR="00042F6F" w:rsidRPr="001A6BEF" w:rsidRDefault="00042F6F">
      <w:pPr>
        <w:pStyle w:val="FootnoteText"/>
      </w:pPr>
      <w:r w:rsidRPr="00C907C9">
        <w:rPr>
          <w:rStyle w:val="FootnoteReference"/>
        </w:rPr>
        <w:footnoteRef/>
      </w:r>
      <w:r w:rsidRPr="00C907C9">
        <w:t xml:space="preserve"> </w:t>
      </w:r>
      <w:r w:rsidR="0052734A" w:rsidRPr="00C907C9">
        <w:t xml:space="preserve">Το μερίδιο των ειδικών (πράσινων) τιμολογίων </w:t>
      </w:r>
      <w:r w:rsidR="00141E17" w:rsidRPr="00C907C9">
        <w:t>σ</w:t>
      </w:r>
      <w:r w:rsidR="00433603">
        <w:t>ε</w:t>
      </w:r>
      <w:r w:rsidR="00141E17" w:rsidRPr="00C907C9">
        <w:t xml:space="preserve"> οικιακούς καταναλωτές </w:t>
      </w:r>
      <w:r w:rsidR="0052734A" w:rsidRPr="00C907C9">
        <w:t xml:space="preserve">ήταν </w:t>
      </w:r>
      <w:r w:rsidR="00365F33" w:rsidRPr="00365F33">
        <w:t>62.37</w:t>
      </w:r>
      <w:r w:rsidR="0052734A" w:rsidRPr="00C907C9">
        <w:t xml:space="preserve">% </w:t>
      </w:r>
      <w:r w:rsidR="00F36B6D" w:rsidRPr="00C907C9">
        <w:t xml:space="preserve">τον </w:t>
      </w:r>
      <w:r w:rsidR="00365F33">
        <w:t>Αύγουστο</w:t>
      </w:r>
      <w:r w:rsidR="00F36B6D" w:rsidRPr="00C907C9">
        <w:t xml:space="preserve"> 2025 σύμφωνα με </w:t>
      </w:r>
      <w:r w:rsidR="002C4F84" w:rsidRPr="00C907C9">
        <w:t xml:space="preserve">την </w:t>
      </w:r>
      <w:hyperlink r:id="rId3" w:history="1">
        <w:r w:rsidR="002C4F84" w:rsidRPr="00C907C9">
          <w:rPr>
            <w:rStyle w:val="Hyperlink"/>
          </w:rPr>
          <w:t xml:space="preserve">Έκθεση Λιανικής Αγοράς Ηλεκτρικής Ενέργειας </w:t>
        </w:r>
        <w:r w:rsidR="00433603">
          <w:rPr>
            <w:rStyle w:val="Hyperlink"/>
          </w:rPr>
          <w:t>Αυγούστου</w:t>
        </w:r>
        <w:r w:rsidR="00CA4D6F" w:rsidRPr="00C907C9">
          <w:rPr>
            <w:rStyle w:val="Hyperlink"/>
          </w:rPr>
          <w:t xml:space="preserve"> 2025</w:t>
        </w:r>
      </w:hyperlink>
      <w:r w:rsidR="00CA4D6F" w:rsidRPr="00C907C9">
        <w:t xml:space="preserve"> της ΡΑΑΕΥ.</w:t>
      </w:r>
      <w:r w:rsidRPr="00C907C9">
        <w:t xml:space="preserve"> </w:t>
      </w:r>
    </w:p>
  </w:footnote>
  <w:footnote w:id="4">
    <w:p w14:paraId="4E458925" w14:textId="54D88C1F" w:rsidR="003871AE" w:rsidRPr="00C907C9" w:rsidRDefault="003871AE">
      <w:pPr>
        <w:pStyle w:val="FootnoteText"/>
      </w:pPr>
      <w:r w:rsidRPr="00C907C9">
        <w:rPr>
          <w:rStyle w:val="FootnoteReference"/>
        </w:rPr>
        <w:footnoteRef/>
      </w:r>
      <w:r w:rsidRPr="00C907C9">
        <w:t xml:space="preserve"> </w:t>
      </w:r>
      <w:r w:rsidR="00627A53" w:rsidRPr="00C907C9">
        <w:t xml:space="preserve">Το τελικό κόστος </w:t>
      </w:r>
      <w:r w:rsidR="00621CAE" w:rsidRPr="00C907C9">
        <w:t xml:space="preserve">ηλεκτρικής ενέργειας για τους καταναλωτές περιλαμβάνει πέρα από το κόστος προμήθειας, </w:t>
      </w:r>
      <w:r w:rsidR="00705F5E" w:rsidRPr="00C907C9">
        <w:t>τις ρυθμιζόμενες χρεώσεις (</w:t>
      </w:r>
      <w:r w:rsidR="00A202DE" w:rsidRPr="00C907C9">
        <w:t xml:space="preserve">συστημάτων μεταφοράς και διανομής ενέργειας, Υπηρεσιών Κοινής Ωφέλειας </w:t>
      </w:r>
      <w:r w:rsidR="00D9346E" w:rsidRPr="00C907C9">
        <w:t>-ΥΚΩ- και τέλος μείωσης εκπομπών αερίων του θερμοκηπίου -ΕΤΜΕΑΡ-)</w:t>
      </w:r>
      <w:r w:rsidR="00584B54" w:rsidRPr="00C907C9">
        <w:t>, και ΦΠΑ</w:t>
      </w:r>
      <w:r w:rsidR="00EB63BF" w:rsidRPr="00C907C9">
        <w:t>.</w:t>
      </w:r>
    </w:p>
  </w:footnote>
  <w:footnote w:id="5">
    <w:p w14:paraId="751F1973" w14:textId="09633F32" w:rsidR="009C4A4E" w:rsidRPr="00966D51" w:rsidRDefault="009C4A4E">
      <w:pPr>
        <w:pStyle w:val="FootnoteText"/>
        <w:rPr>
          <w:lang w:val="en-US"/>
        </w:rPr>
      </w:pPr>
      <w:r w:rsidRPr="00C907C9">
        <w:rPr>
          <w:rStyle w:val="FootnoteReference"/>
        </w:rPr>
        <w:footnoteRef/>
      </w:r>
      <w:r w:rsidRPr="00966D51">
        <w:rPr>
          <w:lang w:val="en-US"/>
        </w:rPr>
        <w:t xml:space="preserve"> </w:t>
      </w:r>
      <w:r w:rsidR="00513CAE" w:rsidRPr="00966D51">
        <w:rPr>
          <w:lang w:val="en-US"/>
        </w:rPr>
        <w:t>Eurostat</w:t>
      </w:r>
      <w:r w:rsidR="00D32836" w:rsidRPr="00966D51">
        <w:rPr>
          <w:lang w:val="en-US"/>
        </w:rPr>
        <w:t xml:space="preserve"> – Electricity prices components for household consumers</w:t>
      </w:r>
      <w:r w:rsidR="003D1906" w:rsidRPr="00966D51">
        <w:rPr>
          <w:lang w:val="en-US"/>
        </w:rPr>
        <w:t xml:space="preserve"> 2024 (nrg_pc_204_c)</w:t>
      </w:r>
    </w:p>
  </w:footnote>
  <w:footnote w:id="6">
    <w:p w14:paraId="14593BA2" w14:textId="11A9A0FF" w:rsidR="00BE5CBE" w:rsidRPr="008C677D" w:rsidRDefault="00BE5CBE">
      <w:pPr>
        <w:pStyle w:val="FootnoteText"/>
      </w:pPr>
      <w:r w:rsidRPr="00C907C9">
        <w:rPr>
          <w:rStyle w:val="FootnoteReference"/>
        </w:rPr>
        <w:footnoteRef/>
      </w:r>
      <w:r w:rsidRPr="00966D51">
        <w:rPr>
          <w:lang w:val="en-US"/>
        </w:rPr>
        <w:t xml:space="preserve"> </w:t>
      </w:r>
      <w:r w:rsidR="00250968" w:rsidRPr="00966D51">
        <w:rPr>
          <w:lang w:val="en-US"/>
        </w:rPr>
        <w:t>ENTSO-</w:t>
      </w:r>
      <w:r w:rsidR="0011560A" w:rsidRPr="00C907C9">
        <w:t>Ε</w:t>
      </w:r>
      <w:r w:rsidR="00250968" w:rsidRPr="00966D51">
        <w:rPr>
          <w:lang w:val="en-US"/>
        </w:rPr>
        <w:t xml:space="preserve"> Transparency Platform: </w:t>
      </w:r>
      <w:hyperlink r:id="rId4" w:history="1">
        <w:r w:rsidRPr="00966D51">
          <w:rPr>
            <w:rStyle w:val="Hyperlink"/>
            <w:lang w:val="en-US"/>
          </w:rPr>
          <w:t>newtransparency.entsoe.eu</w:t>
        </w:r>
      </w:hyperlink>
      <w:r w:rsidR="0070051B">
        <w:rPr>
          <w:lang w:val="en-US"/>
        </w:rPr>
        <w:t xml:space="preserve">. </w:t>
      </w:r>
      <w:r w:rsidR="00724A5B">
        <w:t xml:space="preserve">Τα δεδομένα που έχουν χρησιμοποιηθεί είναι σε </w:t>
      </w:r>
      <w:r w:rsidR="00977F11">
        <w:t xml:space="preserve">ζώνη ώρας </w:t>
      </w:r>
      <w:r w:rsidR="00977F11">
        <w:rPr>
          <w:lang w:val="en-US"/>
        </w:rPr>
        <w:t>CET</w:t>
      </w:r>
      <w:r w:rsidR="00977F11" w:rsidRPr="008C677D">
        <w:t>/</w:t>
      </w:r>
      <w:r w:rsidR="00977F11">
        <w:rPr>
          <w:lang w:val="en-US"/>
        </w:rPr>
        <w:t>CEST</w:t>
      </w:r>
      <w:r w:rsidR="00977F11" w:rsidRPr="008C677D">
        <w:t>.</w:t>
      </w:r>
    </w:p>
  </w:footnote>
  <w:footnote w:id="7">
    <w:p w14:paraId="05F3E63B" w14:textId="673CEB03" w:rsidR="007B67C1" w:rsidRPr="002A472D" w:rsidRDefault="000A04C3" w:rsidP="00916C9F">
      <w:pPr>
        <w:pStyle w:val="FootnoteText"/>
        <w:spacing w:after="80"/>
        <w:rPr>
          <w:rFonts w:asciiTheme="minorHAnsi" w:hAnsiTheme="minorHAnsi"/>
        </w:rPr>
      </w:pPr>
      <w:r w:rsidRPr="002A472D">
        <w:rPr>
          <w:rStyle w:val="FootnoteReference"/>
          <w:rFonts w:asciiTheme="minorHAnsi" w:hAnsiTheme="minorHAnsi"/>
        </w:rPr>
        <w:footnoteRef/>
      </w:r>
      <w:r w:rsidR="004C1C08" w:rsidRPr="002A472D">
        <w:rPr>
          <w:rFonts w:asciiTheme="minorHAnsi" w:hAnsiTheme="minorHAnsi"/>
        </w:rPr>
        <w:t xml:space="preserve"> </w:t>
      </w:r>
      <w:r w:rsidR="00716F9E" w:rsidRPr="002A472D">
        <w:rPr>
          <w:rFonts w:asciiTheme="minorHAnsi" w:hAnsiTheme="minorHAnsi"/>
        </w:rPr>
        <w:t xml:space="preserve">Τάσεις στην ηλεκτροπαραγωγή – </w:t>
      </w:r>
      <w:r w:rsidR="007B67C1" w:rsidRPr="002A472D">
        <w:rPr>
          <w:rFonts w:asciiTheme="minorHAnsi" w:hAnsiTheme="minorHAnsi"/>
        </w:rPr>
        <w:t>Οκτώβριος</w:t>
      </w:r>
      <w:r w:rsidR="00716F9E" w:rsidRPr="002A472D">
        <w:rPr>
          <w:rFonts w:asciiTheme="minorHAnsi" w:hAnsiTheme="minorHAnsi"/>
        </w:rPr>
        <w:t xml:space="preserve"> 2025</w:t>
      </w:r>
      <w:r w:rsidR="00837737" w:rsidRPr="002A472D">
        <w:rPr>
          <w:rFonts w:asciiTheme="minorHAnsi" w:hAnsiTheme="minorHAnsi"/>
        </w:rPr>
        <w:t xml:space="preserve"> – </w:t>
      </w:r>
      <w:r w:rsidR="00837737" w:rsidRPr="002A472D">
        <w:rPr>
          <w:rFonts w:asciiTheme="minorHAnsi" w:hAnsiTheme="minorHAnsi"/>
          <w:lang w:val="en-US"/>
        </w:rPr>
        <w:t>The</w:t>
      </w:r>
      <w:r w:rsidR="00837737" w:rsidRPr="002A472D">
        <w:rPr>
          <w:rFonts w:asciiTheme="minorHAnsi" w:hAnsiTheme="minorHAnsi"/>
        </w:rPr>
        <w:t xml:space="preserve"> </w:t>
      </w:r>
      <w:r w:rsidR="00837737" w:rsidRPr="002A472D">
        <w:rPr>
          <w:rFonts w:asciiTheme="minorHAnsi" w:hAnsiTheme="minorHAnsi"/>
          <w:lang w:val="en-US"/>
        </w:rPr>
        <w:t>Green</w:t>
      </w:r>
      <w:r w:rsidR="00837737" w:rsidRPr="002A472D">
        <w:rPr>
          <w:rFonts w:asciiTheme="minorHAnsi" w:hAnsiTheme="minorHAnsi"/>
        </w:rPr>
        <w:t xml:space="preserve"> </w:t>
      </w:r>
      <w:r w:rsidR="00837737" w:rsidRPr="002A472D">
        <w:rPr>
          <w:rFonts w:asciiTheme="minorHAnsi" w:hAnsiTheme="minorHAnsi"/>
          <w:lang w:val="en-US"/>
        </w:rPr>
        <w:t>Tank</w:t>
      </w:r>
      <w:r w:rsidR="00837737" w:rsidRPr="002A472D">
        <w:rPr>
          <w:rFonts w:asciiTheme="minorHAnsi" w:hAnsiTheme="minorHAnsi"/>
        </w:rPr>
        <w:t xml:space="preserve">: </w:t>
      </w:r>
      <w:hyperlink r:id="rId5" w:history="1">
        <w:r w:rsidR="007B67C1" w:rsidRPr="002A472D">
          <w:rPr>
            <w:rStyle w:val="Hyperlink"/>
            <w:rFonts w:asciiTheme="minorHAnsi" w:hAnsiTheme="minorHAnsi"/>
          </w:rPr>
          <w:t>https://thegreentank.gr/2025/12/03/admie-oct25-el/</w:t>
        </w:r>
      </w:hyperlink>
    </w:p>
  </w:footnote>
  <w:footnote w:id="8">
    <w:p w14:paraId="0673EE84" w14:textId="247758CD" w:rsidR="00D60504" w:rsidRPr="002A472D" w:rsidRDefault="00D60504" w:rsidP="00916C9F">
      <w:pPr>
        <w:pStyle w:val="FootnoteText"/>
        <w:spacing w:after="80"/>
        <w:rPr>
          <w:rFonts w:asciiTheme="minorHAnsi" w:hAnsiTheme="minorHAnsi"/>
        </w:rPr>
      </w:pPr>
      <w:r w:rsidRPr="002A472D">
        <w:rPr>
          <w:rStyle w:val="FootnoteReference"/>
          <w:rFonts w:asciiTheme="minorHAnsi" w:hAnsiTheme="minorHAnsi"/>
        </w:rPr>
        <w:footnoteRef/>
      </w:r>
      <w:r w:rsidR="004C1C08" w:rsidRPr="002A472D">
        <w:rPr>
          <w:rFonts w:asciiTheme="minorHAnsi" w:hAnsiTheme="minorHAnsi"/>
        </w:rPr>
        <w:t xml:space="preserve"> </w:t>
      </w:r>
      <w:r w:rsidR="00936B29" w:rsidRPr="002A472D">
        <w:rPr>
          <w:rFonts w:asciiTheme="minorHAnsi" w:hAnsiTheme="minorHAnsi"/>
        </w:rPr>
        <w:t xml:space="preserve">Ο συντελεστής συσχέτισης Pearson δείχνει το βαθμό εξάρτησης μιας </w:t>
      </w:r>
      <w:r w:rsidR="004A040A" w:rsidRPr="002A472D">
        <w:rPr>
          <w:rFonts w:asciiTheme="minorHAnsi" w:hAnsiTheme="minorHAnsi"/>
        </w:rPr>
        <w:t xml:space="preserve">συνεχούς </w:t>
      </w:r>
      <w:r w:rsidR="00936B29" w:rsidRPr="002A472D">
        <w:rPr>
          <w:rFonts w:asciiTheme="minorHAnsi" w:hAnsiTheme="minorHAnsi"/>
        </w:rPr>
        <w:t xml:space="preserve">μεταβλητής </w:t>
      </w:r>
      <w:r w:rsidR="0013096D" w:rsidRPr="002A472D">
        <w:rPr>
          <w:rFonts w:asciiTheme="minorHAnsi" w:hAnsiTheme="minorHAnsi"/>
        </w:rPr>
        <w:t xml:space="preserve">Χ </w:t>
      </w:r>
      <w:r w:rsidR="00936B29" w:rsidRPr="002A472D">
        <w:rPr>
          <w:rFonts w:asciiTheme="minorHAnsi" w:hAnsiTheme="minorHAnsi"/>
        </w:rPr>
        <w:t>από μια άλλη</w:t>
      </w:r>
      <w:r w:rsidR="0013096D" w:rsidRPr="002A472D">
        <w:rPr>
          <w:rFonts w:asciiTheme="minorHAnsi" w:hAnsiTheme="minorHAnsi"/>
        </w:rPr>
        <w:t xml:space="preserve"> Υ</w:t>
      </w:r>
      <w:r w:rsidR="00701453" w:rsidRPr="002A472D">
        <w:rPr>
          <w:rFonts w:asciiTheme="minorHAnsi" w:hAnsiTheme="minorHAnsi"/>
        </w:rPr>
        <w:t xml:space="preserve">, αν θεωρήσουμε τη μεταξύ τους σχέση γραμμική. Ορίζεται ως </w:t>
      </w:r>
      <m:oMath>
        <m:sSub>
          <m:sSubPr>
            <m:ctrlPr>
              <w:rPr>
                <w:rFonts w:ascii="Cambria Math" w:hAnsi="Cambria Math"/>
                <w:i/>
              </w:rPr>
            </m:ctrlPr>
          </m:sSubPr>
          <m:e>
            <m:r>
              <m:rPr>
                <m:nor/>
              </m:rPr>
              <w:rPr>
                <w:rFonts w:asciiTheme="minorHAnsi" w:hAnsiTheme="minorHAnsi"/>
              </w:rPr>
              <m:t>ρ</m:t>
            </m:r>
          </m:e>
          <m:sub>
            <m:r>
              <m:rPr>
                <m:nor/>
              </m:rPr>
              <w:rPr>
                <w:rFonts w:asciiTheme="minorHAnsi" w:hAnsiTheme="minorHAnsi"/>
              </w:rPr>
              <m:t>Χ,Υ</m:t>
            </m:r>
          </m:sub>
        </m:sSub>
        <m:r>
          <m:rPr>
            <m:nor/>
          </m:rPr>
          <w:rPr>
            <w:rFonts w:asciiTheme="minorHAnsi" w:hAnsiTheme="minorHAnsi"/>
          </w:rPr>
          <m:t>=</m:t>
        </m:r>
        <m:f>
          <m:fPr>
            <m:ctrlPr>
              <w:rPr>
                <w:rFonts w:ascii="Cambria Math" w:hAnsi="Cambria Math"/>
                <w:i/>
              </w:rPr>
            </m:ctrlPr>
          </m:fPr>
          <m:num>
            <m:r>
              <m:rPr>
                <m:nor/>
              </m:rPr>
              <w:rPr>
                <w:rFonts w:asciiTheme="minorHAnsi" w:hAnsiTheme="minorHAnsi"/>
              </w:rPr>
              <m:t>cov(Χ,Υ)</m:t>
            </m:r>
          </m:num>
          <m:den>
            <m:sSub>
              <m:sSubPr>
                <m:ctrlPr>
                  <w:rPr>
                    <w:rFonts w:ascii="Cambria Math" w:hAnsi="Cambria Math"/>
                    <w:i/>
                  </w:rPr>
                </m:ctrlPr>
              </m:sSubPr>
              <m:e>
                <m:r>
                  <m:rPr>
                    <m:nor/>
                  </m:rPr>
                  <w:rPr>
                    <w:rFonts w:asciiTheme="minorHAnsi" w:hAnsiTheme="minorHAnsi"/>
                  </w:rPr>
                  <m:t>σ</m:t>
                </m:r>
              </m:e>
              <m:sub>
                <m:r>
                  <m:rPr>
                    <m:nor/>
                  </m:rPr>
                  <w:rPr>
                    <w:rFonts w:asciiTheme="minorHAnsi" w:hAnsiTheme="minorHAnsi"/>
                  </w:rPr>
                  <m:t>Χ</m:t>
                </m:r>
              </m:sub>
            </m:sSub>
            <m:sSub>
              <m:sSubPr>
                <m:ctrlPr>
                  <w:rPr>
                    <w:rFonts w:ascii="Cambria Math" w:hAnsi="Cambria Math"/>
                    <w:i/>
                  </w:rPr>
                </m:ctrlPr>
              </m:sSubPr>
              <m:e>
                <m:r>
                  <m:rPr>
                    <m:nor/>
                  </m:rPr>
                  <w:rPr>
                    <w:rFonts w:asciiTheme="minorHAnsi" w:hAnsiTheme="minorHAnsi"/>
                  </w:rPr>
                  <m:t>σ</m:t>
                </m:r>
              </m:e>
              <m:sub>
                <m:r>
                  <m:rPr>
                    <m:nor/>
                  </m:rPr>
                  <w:rPr>
                    <w:rFonts w:asciiTheme="minorHAnsi" w:hAnsiTheme="minorHAnsi"/>
                  </w:rPr>
                  <m:t>Υ</m:t>
                </m:r>
              </m:sub>
            </m:sSub>
          </m:den>
        </m:f>
      </m:oMath>
      <w:r w:rsidR="00B60361" w:rsidRPr="002A472D">
        <w:rPr>
          <w:rFonts w:asciiTheme="minorHAnsi" w:eastAsiaTheme="minorEastAsia" w:hAnsiTheme="minorHAnsi"/>
        </w:rPr>
        <w:t xml:space="preserve"> , όπου</w:t>
      </w:r>
      <w:r w:rsidR="00F70D5D" w:rsidRPr="002A472D">
        <w:rPr>
          <w:rFonts w:asciiTheme="minorHAnsi" w:eastAsiaTheme="minorEastAsia" w:hAnsiTheme="minorHAnsi"/>
        </w:rPr>
        <w:t xml:space="preserve"> cov(Χ,Υ) είναι η συνδιακύμανση (covariance) και σ</w:t>
      </w:r>
      <w:r w:rsidR="002E7C42" w:rsidRPr="002A472D">
        <w:rPr>
          <w:rFonts w:asciiTheme="minorHAnsi" w:eastAsiaTheme="minorEastAsia" w:hAnsiTheme="minorHAnsi"/>
          <w:vertAlign w:val="subscript"/>
        </w:rPr>
        <w:t>Χ</w:t>
      </w:r>
      <w:r w:rsidR="002E7C42" w:rsidRPr="002A472D">
        <w:rPr>
          <w:rFonts w:asciiTheme="minorHAnsi" w:eastAsiaTheme="minorEastAsia" w:hAnsiTheme="minorHAnsi"/>
        </w:rPr>
        <w:t>, σ</w:t>
      </w:r>
      <w:r w:rsidR="002E7C42" w:rsidRPr="002A472D">
        <w:rPr>
          <w:rFonts w:asciiTheme="minorHAnsi" w:eastAsiaTheme="minorEastAsia" w:hAnsiTheme="minorHAnsi"/>
          <w:vertAlign w:val="subscript"/>
        </w:rPr>
        <w:t xml:space="preserve">Υ </w:t>
      </w:r>
      <w:r w:rsidR="002E7C42" w:rsidRPr="002A472D">
        <w:rPr>
          <w:rFonts w:asciiTheme="minorHAnsi" w:eastAsiaTheme="minorEastAsia" w:hAnsiTheme="minorHAnsi"/>
        </w:rPr>
        <w:t>είναι οι τυπικές αποκλίσεις των δύο μεταβλητών.</w:t>
      </w:r>
      <w:r w:rsidR="00070919" w:rsidRPr="002A472D">
        <w:rPr>
          <w:rFonts w:asciiTheme="minorHAnsi" w:eastAsiaTheme="minorEastAsia" w:hAnsiTheme="minorHAnsi"/>
        </w:rPr>
        <w:t xml:space="preserve"> Ο συντελεστής παίρνει τιμές από -1 έως 1, με τιμές κοντά στο 1 να δείχνουν ισχυρή θετική συσχέτιση, τιμές κοντά στο -1 να δείχνουν ισχυρή αρνητική συσχέτιση, και τιμές κοντά στο 0 να δείχνουν</w:t>
      </w:r>
      <w:r w:rsidR="00561D8B" w:rsidRPr="002A472D">
        <w:rPr>
          <w:rFonts w:asciiTheme="minorHAnsi" w:eastAsiaTheme="minorEastAsia" w:hAnsiTheme="minorHAnsi"/>
        </w:rPr>
        <w:t xml:space="preserve"> απουσία συσχέτισης.</w:t>
      </w:r>
    </w:p>
  </w:footnote>
  <w:footnote w:id="9">
    <w:p w14:paraId="22BDDF64" w14:textId="73F6D5D6" w:rsidR="005417FD" w:rsidRPr="00C907C9" w:rsidRDefault="005417FD" w:rsidP="005417FD">
      <w:pPr>
        <w:pStyle w:val="FootnoteText"/>
      </w:pPr>
      <w:r w:rsidRPr="002A472D">
        <w:rPr>
          <w:rStyle w:val="FootnoteReference"/>
          <w:rFonts w:asciiTheme="minorHAnsi" w:hAnsiTheme="minorHAnsi"/>
        </w:rPr>
        <w:footnoteRef/>
      </w:r>
      <w:r w:rsidRPr="002A472D">
        <w:rPr>
          <w:rFonts w:asciiTheme="minorHAnsi" w:hAnsiTheme="minorHAnsi"/>
        </w:rPr>
        <w:t xml:space="preserve"> Στην παραγωγή των υδροηλεκτρικών περιλαμβάνεται </w:t>
      </w:r>
      <w:r w:rsidR="00AD1A84" w:rsidRPr="002A472D">
        <w:rPr>
          <w:rFonts w:asciiTheme="minorHAnsi" w:hAnsiTheme="minorHAnsi"/>
        </w:rPr>
        <w:t xml:space="preserve">και </w:t>
      </w:r>
      <w:r w:rsidRPr="002A472D">
        <w:rPr>
          <w:rFonts w:asciiTheme="minorHAnsi" w:hAnsiTheme="minorHAnsi"/>
        </w:rPr>
        <w:t xml:space="preserve">η ενέργεια που </w:t>
      </w:r>
      <w:r w:rsidR="00AD1A84" w:rsidRPr="002A472D">
        <w:rPr>
          <w:rFonts w:asciiTheme="minorHAnsi" w:hAnsiTheme="minorHAnsi"/>
        </w:rPr>
        <w:t xml:space="preserve">αποδίδεται στο </w:t>
      </w:r>
      <w:r w:rsidR="00AD1A84" w:rsidRPr="002A472D">
        <w:rPr>
          <w:rFonts w:asciiTheme="minorHAnsi" w:hAnsiTheme="minorHAnsi"/>
        </w:rPr>
        <w:t>σύστημα από τα αντλησιοταμιευτικά συστήματα</w:t>
      </w:r>
      <w:r w:rsidRPr="002A472D">
        <w:rPr>
          <w:rFonts w:asciiTheme="minorHAnsi" w:hAnsiTheme="minorHAnsi"/>
        </w:rPr>
        <w:t>.</w:t>
      </w:r>
    </w:p>
  </w:footnote>
  <w:footnote w:id="10">
    <w:p w14:paraId="51A6E901" w14:textId="1A3688E3" w:rsidR="00113880" w:rsidRPr="00C907C9" w:rsidRDefault="00113880">
      <w:pPr>
        <w:pStyle w:val="FootnoteText"/>
      </w:pPr>
      <w:r w:rsidRPr="00C907C9">
        <w:rPr>
          <w:rStyle w:val="FootnoteReference"/>
        </w:rPr>
        <w:footnoteRef/>
      </w:r>
      <w:r w:rsidR="004C1C08">
        <w:t xml:space="preserve"> </w:t>
      </w:r>
      <w:r w:rsidR="008136D4" w:rsidRPr="006127C3">
        <w:t>Το</w:t>
      </w:r>
      <w:r w:rsidR="004772D8" w:rsidRPr="006127C3">
        <w:t xml:space="preserve"> δ</w:t>
      </w:r>
      <w:r w:rsidR="008136D4" w:rsidRPr="006127C3">
        <w:t xml:space="preserve">ιήμερο </w:t>
      </w:r>
      <w:r w:rsidR="004772D8" w:rsidRPr="006127C3">
        <w:t>3</w:t>
      </w:r>
      <w:r w:rsidR="008136D4" w:rsidRPr="006127C3">
        <w:t>-</w:t>
      </w:r>
      <w:r w:rsidR="00F0313F" w:rsidRPr="006127C3">
        <w:t>4</w:t>
      </w:r>
      <w:r w:rsidR="008136D4" w:rsidRPr="006127C3">
        <w:t xml:space="preserve"> Σεπτεμβρίου 2024 τα ημερήσια μερίδια του λιγνίτη στην ηλεκτροπαραγωγή κυμάνθηκαν </w:t>
      </w:r>
      <w:r w:rsidR="006127C3" w:rsidRPr="006127C3">
        <w:t>γύρω στο</w:t>
      </w:r>
      <w:r w:rsidR="008136D4" w:rsidRPr="006127C3">
        <w:t xml:space="preserve"> 18% και ήταν τα υψηλότερα του έτους</w:t>
      </w:r>
      <w:r w:rsidR="004772D8" w:rsidRPr="006127C3">
        <w:t>.</w:t>
      </w:r>
      <w:r w:rsidR="00F0313F" w:rsidRPr="006127C3">
        <w:t xml:space="preserve"> Οι αντίστοιχες </w:t>
      </w:r>
      <w:r w:rsidR="008136D4" w:rsidRPr="006127C3">
        <w:t xml:space="preserve">μέσες </w:t>
      </w:r>
      <w:r w:rsidR="008136D4" w:rsidRPr="006127C3">
        <w:t xml:space="preserve">ημερήσιες τιμές στη χονδρεμπορική αγορά </w:t>
      </w:r>
      <w:r w:rsidR="004772D8" w:rsidRPr="006127C3">
        <w:t>ήταν</w:t>
      </w:r>
      <w:r w:rsidR="008136D4" w:rsidRPr="006127C3">
        <w:t xml:space="preserve"> </w:t>
      </w:r>
      <w:r w:rsidR="002C0FE9" w:rsidRPr="006127C3">
        <w:t>186.1</w:t>
      </w:r>
      <w:r w:rsidR="008136D4" w:rsidRPr="006127C3">
        <w:t xml:space="preserve"> </w:t>
      </w:r>
      <w:r w:rsidR="00F0313F" w:rsidRPr="006127C3">
        <w:t xml:space="preserve">€/ΜWh </w:t>
      </w:r>
      <w:r w:rsidR="008136D4" w:rsidRPr="006127C3">
        <w:t xml:space="preserve">και </w:t>
      </w:r>
      <w:r w:rsidR="00EB7FA0" w:rsidRPr="006127C3">
        <w:t>197.8</w:t>
      </w:r>
      <w:r w:rsidR="008136D4" w:rsidRPr="006127C3">
        <w:t xml:space="preserve"> €/ΜWh </w:t>
      </w:r>
      <w:r w:rsidR="00F0313F" w:rsidRPr="006127C3">
        <w:t>που συγκαταλέγονται ανάμεσα στις υψηλότερες του έτους</w:t>
      </w:r>
      <w:r w:rsidR="004772D8" w:rsidRPr="006127C3">
        <w:t>,</w:t>
      </w:r>
      <w:r w:rsidR="00F0313F" w:rsidRPr="006127C3">
        <w:t xml:space="preserve"> ενώ στις 4 Σεπτεμβρίου στις 21.00</w:t>
      </w:r>
      <w:r w:rsidR="008011E7" w:rsidRPr="006127C3">
        <w:t xml:space="preserve"> </w:t>
      </w:r>
      <w:r w:rsidR="00F0313F" w:rsidRPr="006127C3">
        <w:t>καταγράφηκε η υψηλότερη ωριαία τιμή του 2024 με 942 €/ΜWh</w:t>
      </w:r>
      <w:r w:rsidR="00F0313F" w:rsidRPr="00C907C9">
        <w:t xml:space="preserve">. </w:t>
      </w:r>
    </w:p>
  </w:footnote>
  <w:footnote w:id="11">
    <w:p w14:paraId="658F22CF" w14:textId="55988ABD" w:rsidR="00220BF9" w:rsidRDefault="00220BF9">
      <w:pPr>
        <w:pStyle w:val="FootnoteText"/>
      </w:pPr>
      <w:r>
        <w:rPr>
          <w:rStyle w:val="FootnoteReference"/>
        </w:rPr>
        <w:footnoteRef/>
      </w:r>
      <w:r>
        <w:t xml:space="preserve"> Σύμφωνα με την ανάλυση των </w:t>
      </w:r>
      <w:r w:rsidR="0034221B">
        <w:rPr>
          <w:lang w:val="en-US"/>
        </w:rPr>
        <w:t>Zakeri</w:t>
      </w:r>
      <w:r w:rsidR="0034221B" w:rsidRPr="0034221B">
        <w:t xml:space="preserve"> </w:t>
      </w:r>
      <w:r w:rsidR="0034221B">
        <w:rPr>
          <w:lang w:val="en-US"/>
        </w:rPr>
        <w:t>et</w:t>
      </w:r>
      <w:r w:rsidR="0034221B" w:rsidRPr="0034221B">
        <w:t xml:space="preserve"> </w:t>
      </w:r>
      <w:r w:rsidR="0034221B">
        <w:rPr>
          <w:lang w:val="en-US"/>
        </w:rPr>
        <w:t>al</w:t>
      </w:r>
      <w:r w:rsidR="0034221B" w:rsidRPr="0034221B">
        <w:t xml:space="preserve">. </w:t>
      </w:r>
      <w:r w:rsidR="009C32DE" w:rsidRPr="009C32DE">
        <w:t xml:space="preserve">(2023) </w:t>
      </w:r>
      <w:r w:rsidR="0034221B" w:rsidRPr="0034221B">
        <w:t>“</w:t>
      </w:r>
      <w:hyperlink r:id="rId6" w:history="1">
        <w:r w:rsidR="00094375" w:rsidRPr="009C32DE">
          <w:rPr>
            <w:rStyle w:val="Hyperlink"/>
          </w:rPr>
          <w:t>The role of natural gas in setting electricity prices in Europe</w:t>
        </w:r>
      </w:hyperlink>
      <w:r w:rsidR="0034221B" w:rsidRPr="0034221B">
        <w:t xml:space="preserve">”, </w:t>
      </w:r>
      <w:r w:rsidR="00094375">
        <w:rPr>
          <w:lang w:val="en-US"/>
        </w:rPr>
        <w:t>Energy</w:t>
      </w:r>
      <w:r w:rsidR="00094375" w:rsidRPr="00094375">
        <w:t xml:space="preserve"> </w:t>
      </w:r>
      <w:r w:rsidR="00094375">
        <w:rPr>
          <w:lang w:val="en-US"/>
        </w:rPr>
        <w:t>Reports</w:t>
      </w:r>
      <w:r w:rsidR="00094375" w:rsidRPr="00094375">
        <w:t xml:space="preserve"> (10), 2778-2792, </w:t>
      </w:r>
      <w:r w:rsidR="00040370">
        <w:t xml:space="preserve">το 2021 τα μεγάλα </w:t>
      </w:r>
      <w:r w:rsidR="0009339E">
        <w:t>ΥΗ</w:t>
      </w:r>
      <w:r w:rsidR="00040370">
        <w:t xml:space="preserve"> όρισαν την τιμή </w:t>
      </w:r>
      <w:r w:rsidR="00636ED0">
        <w:t xml:space="preserve">στη χονδρεμπορική αγορά της Ελλάδας </w:t>
      </w:r>
      <w:r w:rsidR="00040370">
        <w:t xml:space="preserve">μόλις το 9% των </w:t>
      </w:r>
      <w:r w:rsidR="007364A7">
        <w:t xml:space="preserve">ετήσιων </w:t>
      </w:r>
      <w:r w:rsidR="00040370">
        <w:t xml:space="preserve">ωρών, ο λιγνίτης το 1% ενώ το αέριο </w:t>
      </w:r>
      <w:r w:rsidR="00636ED0">
        <w:t xml:space="preserve">ήταν κυρίαρχο με </w:t>
      </w:r>
      <w:r w:rsidR="00040370">
        <w:t xml:space="preserve">90%. </w:t>
      </w:r>
      <w:r w:rsidR="00636ED0">
        <w:t xml:space="preserve">Όλα τα προηγούμενα χρόνια που εξετάστηκαν (2015-2020) το μερίδιο των ωρών του έτους στις οποίες τα μεγάλα </w:t>
      </w:r>
      <w:r w:rsidR="007364A7">
        <w:t>ΥΗ</w:t>
      </w:r>
      <w:r w:rsidR="00636ED0">
        <w:t xml:space="preserve"> όρισαν την τιμή ήταν πολύ μικρότερο (</w:t>
      </w:r>
      <w:r w:rsidR="002D160D" w:rsidRPr="002D160D">
        <w:t>0</w:t>
      </w:r>
      <w:r w:rsidR="00636ED0">
        <w:t>%-</w:t>
      </w:r>
      <w:r w:rsidR="002D160D" w:rsidRPr="004228D4">
        <w:t>4</w:t>
      </w:r>
      <w:r w:rsidR="00636ED0">
        <w:t>%)</w:t>
      </w:r>
      <w:r w:rsidR="00094375" w:rsidRPr="00094375">
        <w:t xml:space="preserve">. </w:t>
      </w:r>
      <w:r w:rsidR="00636ED0">
        <w:t xml:space="preserve"> </w:t>
      </w:r>
      <w:r w:rsidR="00040370">
        <w:t xml:space="preserve"> </w:t>
      </w:r>
    </w:p>
  </w:footnote>
  <w:footnote w:id="12">
    <w:p w14:paraId="4F4F5F57" w14:textId="59F96B45" w:rsidR="00BF0A9B" w:rsidRPr="00F25FA6" w:rsidRDefault="00BF0A9B">
      <w:pPr>
        <w:pStyle w:val="FootnoteText"/>
      </w:pPr>
      <w:r w:rsidRPr="00C907C9">
        <w:rPr>
          <w:rStyle w:val="FootnoteReference"/>
        </w:rPr>
        <w:footnoteRef/>
      </w:r>
      <w:r w:rsidRPr="00C907C9">
        <w:t xml:space="preserve"> Για το 2025 χρησιμοποιούνται δεδομένα μέχρι </w:t>
      </w:r>
      <w:r w:rsidR="005838C0" w:rsidRPr="00C907C9">
        <w:t xml:space="preserve">και </w:t>
      </w:r>
      <w:r w:rsidRPr="00C907C9">
        <w:t>τον Οκτώβριο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CEEC" w14:textId="4AFA5AFB" w:rsidR="006B0143" w:rsidRPr="00C907C9" w:rsidRDefault="008D44DE" w:rsidP="006B0143">
    <w:pPr>
      <w:pBdr>
        <w:top w:val="nil"/>
        <w:left w:val="nil"/>
        <w:bottom w:val="nil"/>
        <w:right w:val="nil"/>
        <w:between w:val="nil"/>
      </w:pBdr>
      <w:tabs>
        <w:tab w:val="left" w:pos="2820"/>
      </w:tabs>
      <w:spacing w:line="240" w:lineRule="auto"/>
    </w:pPr>
    <w:r w:rsidRPr="008150AF">
      <w:rPr>
        <w:rFonts w:ascii="Calibri" w:eastAsia="Calibri" w:hAnsi="Calibri" w:cs="Calibri"/>
        <w:noProof/>
        <w:color w:val="FFFFFF"/>
        <w:kern w:val="0"/>
        <w:szCs w:val="22"/>
        <w14:ligatures w14:val="none"/>
      </w:rPr>
      <w:drawing>
        <wp:anchor distT="0" distB="0" distL="114300" distR="114300" simplePos="0" relativeHeight="251658242" behindDoc="1" locked="0" layoutInCell="1" allowOverlap="1" wp14:anchorId="43F98586" wp14:editId="182637B5">
          <wp:simplePos x="0" y="0"/>
          <wp:positionH relativeFrom="page">
            <wp:align>left</wp:align>
          </wp:positionH>
          <wp:positionV relativeFrom="paragraph">
            <wp:posOffset>-528955</wp:posOffset>
          </wp:positionV>
          <wp:extent cx="11313224" cy="3560400"/>
          <wp:effectExtent l="0" t="0" r="2540" b="2540"/>
          <wp:wrapNone/>
          <wp:docPr id="372789444" name="Graphic 372789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72676"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313224" cy="3560400"/>
                  </a:xfrm>
                  <a:prstGeom prst="rect">
                    <a:avLst/>
                  </a:prstGeom>
                </pic:spPr>
              </pic:pic>
            </a:graphicData>
          </a:graphic>
          <wp14:sizeRelH relativeFrom="margin">
            <wp14:pctWidth>0</wp14:pctWidth>
          </wp14:sizeRelH>
          <wp14:sizeRelV relativeFrom="margin">
            <wp14:pctHeight>0</wp14:pctHeight>
          </wp14:sizeRelV>
        </wp:anchor>
      </w:drawing>
    </w:r>
    <w:r w:rsidR="00F95865" w:rsidRPr="008150AF">
      <w:rPr>
        <w:noProof/>
      </w:rPr>
      <w:drawing>
        <wp:anchor distT="0" distB="0" distL="114300" distR="114300" simplePos="0" relativeHeight="251658243" behindDoc="0" locked="0" layoutInCell="1" allowOverlap="1" wp14:anchorId="01812954" wp14:editId="7C7AD442">
          <wp:simplePos x="0" y="0"/>
          <wp:positionH relativeFrom="margin">
            <wp:posOffset>4565650</wp:posOffset>
          </wp:positionH>
          <wp:positionV relativeFrom="page">
            <wp:posOffset>392430</wp:posOffset>
          </wp:positionV>
          <wp:extent cx="1404000" cy="1123200"/>
          <wp:effectExtent l="0" t="0" r="5715" b="1270"/>
          <wp:wrapNone/>
          <wp:docPr id="1272485841" name="Graphic 127248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04"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404000" cy="112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FA2"/>
    <w:multiLevelType w:val="hybridMultilevel"/>
    <w:tmpl w:val="9A2E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D3EB0"/>
    <w:multiLevelType w:val="hybridMultilevel"/>
    <w:tmpl w:val="65969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37943"/>
    <w:multiLevelType w:val="hybridMultilevel"/>
    <w:tmpl w:val="A112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828890">
    <w:abstractNumId w:val="1"/>
  </w:num>
  <w:num w:numId="2" w16cid:durableId="1346713276">
    <w:abstractNumId w:val="0"/>
  </w:num>
  <w:num w:numId="3" w16cid:durableId="89854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32"/>
    <w:rsid w:val="00002571"/>
    <w:rsid w:val="000046FC"/>
    <w:rsid w:val="0000793C"/>
    <w:rsid w:val="00012E41"/>
    <w:rsid w:val="000145D0"/>
    <w:rsid w:val="00015863"/>
    <w:rsid w:val="00016D45"/>
    <w:rsid w:val="00021969"/>
    <w:rsid w:val="00022577"/>
    <w:rsid w:val="000244E4"/>
    <w:rsid w:val="00025D98"/>
    <w:rsid w:val="000336BC"/>
    <w:rsid w:val="00033EAE"/>
    <w:rsid w:val="00036422"/>
    <w:rsid w:val="00036F6F"/>
    <w:rsid w:val="0003734E"/>
    <w:rsid w:val="00040370"/>
    <w:rsid w:val="00041A45"/>
    <w:rsid w:val="00042F6F"/>
    <w:rsid w:val="000457F8"/>
    <w:rsid w:val="0004796E"/>
    <w:rsid w:val="00050FC9"/>
    <w:rsid w:val="000536DA"/>
    <w:rsid w:val="000630F0"/>
    <w:rsid w:val="00063554"/>
    <w:rsid w:val="000666D5"/>
    <w:rsid w:val="00067A61"/>
    <w:rsid w:val="000704A9"/>
    <w:rsid w:val="00070686"/>
    <w:rsid w:val="00070919"/>
    <w:rsid w:val="00070A9D"/>
    <w:rsid w:val="000715A8"/>
    <w:rsid w:val="0007359B"/>
    <w:rsid w:val="00073F39"/>
    <w:rsid w:val="000742EE"/>
    <w:rsid w:val="000748E9"/>
    <w:rsid w:val="0007552C"/>
    <w:rsid w:val="00076253"/>
    <w:rsid w:val="000763FA"/>
    <w:rsid w:val="00081CC9"/>
    <w:rsid w:val="0008394A"/>
    <w:rsid w:val="000846F2"/>
    <w:rsid w:val="000853ED"/>
    <w:rsid w:val="0008545C"/>
    <w:rsid w:val="00087328"/>
    <w:rsid w:val="00087355"/>
    <w:rsid w:val="00087547"/>
    <w:rsid w:val="0009339E"/>
    <w:rsid w:val="0009409F"/>
    <w:rsid w:val="00094375"/>
    <w:rsid w:val="000A04C3"/>
    <w:rsid w:val="000A04F3"/>
    <w:rsid w:val="000A0E0D"/>
    <w:rsid w:val="000A2927"/>
    <w:rsid w:val="000A364E"/>
    <w:rsid w:val="000A5DBF"/>
    <w:rsid w:val="000A715A"/>
    <w:rsid w:val="000B0BD3"/>
    <w:rsid w:val="000B7488"/>
    <w:rsid w:val="000C0393"/>
    <w:rsid w:val="000C0FDA"/>
    <w:rsid w:val="000C1F92"/>
    <w:rsid w:val="000C25DD"/>
    <w:rsid w:val="000C2B12"/>
    <w:rsid w:val="000C2F44"/>
    <w:rsid w:val="000C3D85"/>
    <w:rsid w:val="000C4BFF"/>
    <w:rsid w:val="000C4CD8"/>
    <w:rsid w:val="000C6379"/>
    <w:rsid w:val="000D1642"/>
    <w:rsid w:val="000D346D"/>
    <w:rsid w:val="000D412A"/>
    <w:rsid w:val="000D5211"/>
    <w:rsid w:val="000D5FA0"/>
    <w:rsid w:val="000D64C4"/>
    <w:rsid w:val="000E0296"/>
    <w:rsid w:val="000E182C"/>
    <w:rsid w:val="000E1DFD"/>
    <w:rsid w:val="000E33F8"/>
    <w:rsid w:val="000E3B13"/>
    <w:rsid w:val="000E3FA1"/>
    <w:rsid w:val="000E4EFA"/>
    <w:rsid w:val="000E51F2"/>
    <w:rsid w:val="000E75AD"/>
    <w:rsid w:val="000F0813"/>
    <w:rsid w:val="000F2825"/>
    <w:rsid w:val="000F479C"/>
    <w:rsid w:val="000F62A8"/>
    <w:rsid w:val="00102EDF"/>
    <w:rsid w:val="00105CF8"/>
    <w:rsid w:val="00106FDB"/>
    <w:rsid w:val="001103F5"/>
    <w:rsid w:val="00110B2E"/>
    <w:rsid w:val="00111886"/>
    <w:rsid w:val="00113880"/>
    <w:rsid w:val="001142FF"/>
    <w:rsid w:val="0011451C"/>
    <w:rsid w:val="001151E3"/>
    <w:rsid w:val="0011560A"/>
    <w:rsid w:val="00120552"/>
    <w:rsid w:val="001211D5"/>
    <w:rsid w:val="0012306D"/>
    <w:rsid w:val="00124B23"/>
    <w:rsid w:val="0012659C"/>
    <w:rsid w:val="001278D3"/>
    <w:rsid w:val="0013051D"/>
    <w:rsid w:val="0013096D"/>
    <w:rsid w:val="00132D56"/>
    <w:rsid w:val="0013331E"/>
    <w:rsid w:val="00135315"/>
    <w:rsid w:val="00136472"/>
    <w:rsid w:val="00137F0F"/>
    <w:rsid w:val="00137FDB"/>
    <w:rsid w:val="00141E17"/>
    <w:rsid w:val="00142E00"/>
    <w:rsid w:val="00143088"/>
    <w:rsid w:val="0014309B"/>
    <w:rsid w:val="00144F77"/>
    <w:rsid w:val="0014513A"/>
    <w:rsid w:val="001452F3"/>
    <w:rsid w:val="00147DD1"/>
    <w:rsid w:val="001504F2"/>
    <w:rsid w:val="0015181D"/>
    <w:rsid w:val="00151B66"/>
    <w:rsid w:val="00152FFE"/>
    <w:rsid w:val="00154B8D"/>
    <w:rsid w:val="001575F5"/>
    <w:rsid w:val="001601A5"/>
    <w:rsid w:val="00161680"/>
    <w:rsid w:val="001641CA"/>
    <w:rsid w:val="00164B2E"/>
    <w:rsid w:val="0016595F"/>
    <w:rsid w:val="0016689B"/>
    <w:rsid w:val="00166AEE"/>
    <w:rsid w:val="00166B6C"/>
    <w:rsid w:val="00167AE3"/>
    <w:rsid w:val="001715C4"/>
    <w:rsid w:val="00173E5E"/>
    <w:rsid w:val="00174DC0"/>
    <w:rsid w:val="001761B2"/>
    <w:rsid w:val="00177120"/>
    <w:rsid w:val="00177C1C"/>
    <w:rsid w:val="00180BA6"/>
    <w:rsid w:val="00181283"/>
    <w:rsid w:val="00181845"/>
    <w:rsid w:val="00181E56"/>
    <w:rsid w:val="001824B3"/>
    <w:rsid w:val="00182666"/>
    <w:rsid w:val="00182D1D"/>
    <w:rsid w:val="00187257"/>
    <w:rsid w:val="00187387"/>
    <w:rsid w:val="00187436"/>
    <w:rsid w:val="0018787B"/>
    <w:rsid w:val="00187923"/>
    <w:rsid w:val="00187D92"/>
    <w:rsid w:val="0019024F"/>
    <w:rsid w:val="001921AE"/>
    <w:rsid w:val="00193057"/>
    <w:rsid w:val="00193E50"/>
    <w:rsid w:val="00195098"/>
    <w:rsid w:val="001956B4"/>
    <w:rsid w:val="00195816"/>
    <w:rsid w:val="0019639C"/>
    <w:rsid w:val="00197761"/>
    <w:rsid w:val="001A2A99"/>
    <w:rsid w:val="001A6BEF"/>
    <w:rsid w:val="001B03A5"/>
    <w:rsid w:val="001B064C"/>
    <w:rsid w:val="001B279A"/>
    <w:rsid w:val="001B56ED"/>
    <w:rsid w:val="001C25EA"/>
    <w:rsid w:val="001C3591"/>
    <w:rsid w:val="001C39EE"/>
    <w:rsid w:val="001C3FFF"/>
    <w:rsid w:val="001C44B9"/>
    <w:rsid w:val="001C6A3B"/>
    <w:rsid w:val="001D0214"/>
    <w:rsid w:val="001D1088"/>
    <w:rsid w:val="001D563D"/>
    <w:rsid w:val="001E1425"/>
    <w:rsid w:val="001E302B"/>
    <w:rsid w:val="001E53C8"/>
    <w:rsid w:val="001E5FA8"/>
    <w:rsid w:val="001F0B18"/>
    <w:rsid w:val="001F1033"/>
    <w:rsid w:val="001F2074"/>
    <w:rsid w:val="002011E0"/>
    <w:rsid w:val="002023CC"/>
    <w:rsid w:val="00202A32"/>
    <w:rsid w:val="00202BB4"/>
    <w:rsid w:val="002044C2"/>
    <w:rsid w:val="00204B67"/>
    <w:rsid w:val="00206B21"/>
    <w:rsid w:val="0021112B"/>
    <w:rsid w:val="002129C6"/>
    <w:rsid w:val="00212CA9"/>
    <w:rsid w:val="00213199"/>
    <w:rsid w:val="00214AFC"/>
    <w:rsid w:val="002165E5"/>
    <w:rsid w:val="00220633"/>
    <w:rsid w:val="00220BF9"/>
    <w:rsid w:val="00221BE5"/>
    <w:rsid w:val="0022407E"/>
    <w:rsid w:val="00224F1B"/>
    <w:rsid w:val="00232385"/>
    <w:rsid w:val="00232498"/>
    <w:rsid w:val="00232EB1"/>
    <w:rsid w:val="002357EF"/>
    <w:rsid w:val="0023675D"/>
    <w:rsid w:val="00245C23"/>
    <w:rsid w:val="00246041"/>
    <w:rsid w:val="0024609B"/>
    <w:rsid w:val="00247FFD"/>
    <w:rsid w:val="00250968"/>
    <w:rsid w:val="0025170E"/>
    <w:rsid w:val="00251C94"/>
    <w:rsid w:val="0025231F"/>
    <w:rsid w:val="00252B25"/>
    <w:rsid w:val="00254FDE"/>
    <w:rsid w:val="002552C8"/>
    <w:rsid w:val="002557F4"/>
    <w:rsid w:val="00256D2B"/>
    <w:rsid w:val="002571CF"/>
    <w:rsid w:val="00260725"/>
    <w:rsid w:val="00260939"/>
    <w:rsid w:val="00261916"/>
    <w:rsid w:val="002625BC"/>
    <w:rsid w:val="00262800"/>
    <w:rsid w:val="00262B1B"/>
    <w:rsid w:val="002637AC"/>
    <w:rsid w:val="00263DDA"/>
    <w:rsid w:val="002642CF"/>
    <w:rsid w:val="0026639A"/>
    <w:rsid w:val="00272F3D"/>
    <w:rsid w:val="00274E8A"/>
    <w:rsid w:val="002755F6"/>
    <w:rsid w:val="00275749"/>
    <w:rsid w:val="00275E5E"/>
    <w:rsid w:val="00276B6F"/>
    <w:rsid w:val="00292990"/>
    <w:rsid w:val="00295323"/>
    <w:rsid w:val="002A09DF"/>
    <w:rsid w:val="002A21A1"/>
    <w:rsid w:val="002A2367"/>
    <w:rsid w:val="002A472D"/>
    <w:rsid w:val="002A4B18"/>
    <w:rsid w:val="002A560E"/>
    <w:rsid w:val="002A579D"/>
    <w:rsid w:val="002A5B0A"/>
    <w:rsid w:val="002A6A90"/>
    <w:rsid w:val="002B2F35"/>
    <w:rsid w:val="002B35F0"/>
    <w:rsid w:val="002B39DC"/>
    <w:rsid w:val="002B5BF3"/>
    <w:rsid w:val="002B6C85"/>
    <w:rsid w:val="002B7ED4"/>
    <w:rsid w:val="002C042B"/>
    <w:rsid w:val="002C06C7"/>
    <w:rsid w:val="002C0FE9"/>
    <w:rsid w:val="002C127C"/>
    <w:rsid w:val="002C23E5"/>
    <w:rsid w:val="002C43B2"/>
    <w:rsid w:val="002C4F84"/>
    <w:rsid w:val="002C6778"/>
    <w:rsid w:val="002D160D"/>
    <w:rsid w:val="002D4D79"/>
    <w:rsid w:val="002E074C"/>
    <w:rsid w:val="002E3480"/>
    <w:rsid w:val="002E6CCB"/>
    <w:rsid w:val="002E72E2"/>
    <w:rsid w:val="002E73DC"/>
    <w:rsid w:val="002E76D2"/>
    <w:rsid w:val="002E7C42"/>
    <w:rsid w:val="002F15E7"/>
    <w:rsid w:val="002F7C70"/>
    <w:rsid w:val="003005C7"/>
    <w:rsid w:val="003049D2"/>
    <w:rsid w:val="00310304"/>
    <w:rsid w:val="00310336"/>
    <w:rsid w:val="00310B0D"/>
    <w:rsid w:val="003113A8"/>
    <w:rsid w:val="00311533"/>
    <w:rsid w:val="00312A22"/>
    <w:rsid w:val="00313C07"/>
    <w:rsid w:val="00314C96"/>
    <w:rsid w:val="00315021"/>
    <w:rsid w:val="00315CDD"/>
    <w:rsid w:val="00316A10"/>
    <w:rsid w:val="00317540"/>
    <w:rsid w:val="00317CAB"/>
    <w:rsid w:val="00317F52"/>
    <w:rsid w:val="003229DE"/>
    <w:rsid w:val="00325BBC"/>
    <w:rsid w:val="00325F75"/>
    <w:rsid w:val="00327716"/>
    <w:rsid w:val="00327909"/>
    <w:rsid w:val="003323DC"/>
    <w:rsid w:val="00332C87"/>
    <w:rsid w:val="00335FE5"/>
    <w:rsid w:val="003364BD"/>
    <w:rsid w:val="003367AF"/>
    <w:rsid w:val="00336834"/>
    <w:rsid w:val="00336F73"/>
    <w:rsid w:val="0034221B"/>
    <w:rsid w:val="00342DAB"/>
    <w:rsid w:val="00342F53"/>
    <w:rsid w:val="00343BEA"/>
    <w:rsid w:val="00344A47"/>
    <w:rsid w:val="003458B6"/>
    <w:rsid w:val="00347708"/>
    <w:rsid w:val="00350328"/>
    <w:rsid w:val="003517F1"/>
    <w:rsid w:val="003536F7"/>
    <w:rsid w:val="0035443F"/>
    <w:rsid w:val="00362172"/>
    <w:rsid w:val="0036267D"/>
    <w:rsid w:val="00362DCC"/>
    <w:rsid w:val="00363EEE"/>
    <w:rsid w:val="00365F33"/>
    <w:rsid w:val="003673AD"/>
    <w:rsid w:val="00370512"/>
    <w:rsid w:val="00370B9D"/>
    <w:rsid w:val="00370B9F"/>
    <w:rsid w:val="00370E55"/>
    <w:rsid w:val="00371205"/>
    <w:rsid w:val="003723A3"/>
    <w:rsid w:val="00372936"/>
    <w:rsid w:val="00375056"/>
    <w:rsid w:val="0038470E"/>
    <w:rsid w:val="0038641A"/>
    <w:rsid w:val="00386631"/>
    <w:rsid w:val="003871AE"/>
    <w:rsid w:val="003877DB"/>
    <w:rsid w:val="00390E08"/>
    <w:rsid w:val="00392B81"/>
    <w:rsid w:val="00394D24"/>
    <w:rsid w:val="00395415"/>
    <w:rsid w:val="003954E2"/>
    <w:rsid w:val="00395DF8"/>
    <w:rsid w:val="003963BD"/>
    <w:rsid w:val="003969D9"/>
    <w:rsid w:val="003A1118"/>
    <w:rsid w:val="003A1C09"/>
    <w:rsid w:val="003A31D0"/>
    <w:rsid w:val="003A4924"/>
    <w:rsid w:val="003A7AFF"/>
    <w:rsid w:val="003B05D6"/>
    <w:rsid w:val="003B1830"/>
    <w:rsid w:val="003B246E"/>
    <w:rsid w:val="003B269B"/>
    <w:rsid w:val="003B528C"/>
    <w:rsid w:val="003B6CB5"/>
    <w:rsid w:val="003B7390"/>
    <w:rsid w:val="003C21AB"/>
    <w:rsid w:val="003C223A"/>
    <w:rsid w:val="003C2AE5"/>
    <w:rsid w:val="003C40A8"/>
    <w:rsid w:val="003C5ED6"/>
    <w:rsid w:val="003D1428"/>
    <w:rsid w:val="003D1906"/>
    <w:rsid w:val="003D442E"/>
    <w:rsid w:val="003D5447"/>
    <w:rsid w:val="003D69F5"/>
    <w:rsid w:val="003D73F2"/>
    <w:rsid w:val="003E04DE"/>
    <w:rsid w:val="003E112D"/>
    <w:rsid w:val="003E2260"/>
    <w:rsid w:val="003E24E4"/>
    <w:rsid w:val="003E3C3C"/>
    <w:rsid w:val="003E4392"/>
    <w:rsid w:val="003E5068"/>
    <w:rsid w:val="003E5FCD"/>
    <w:rsid w:val="003E6C28"/>
    <w:rsid w:val="003F2071"/>
    <w:rsid w:val="003F2570"/>
    <w:rsid w:val="003F38C8"/>
    <w:rsid w:val="003F3C2F"/>
    <w:rsid w:val="003F4125"/>
    <w:rsid w:val="003F6C59"/>
    <w:rsid w:val="003F70FC"/>
    <w:rsid w:val="00401266"/>
    <w:rsid w:val="00402845"/>
    <w:rsid w:val="00403578"/>
    <w:rsid w:val="004035A2"/>
    <w:rsid w:val="00403809"/>
    <w:rsid w:val="00403EA1"/>
    <w:rsid w:val="00405619"/>
    <w:rsid w:val="00405CDF"/>
    <w:rsid w:val="004063B9"/>
    <w:rsid w:val="004065E2"/>
    <w:rsid w:val="0040718B"/>
    <w:rsid w:val="004103A1"/>
    <w:rsid w:val="00411FDD"/>
    <w:rsid w:val="0041383A"/>
    <w:rsid w:val="00413A5A"/>
    <w:rsid w:val="00414910"/>
    <w:rsid w:val="0041526A"/>
    <w:rsid w:val="00416772"/>
    <w:rsid w:val="004176C2"/>
    <w:rsid w:val="00420A59"/>
    <w:rsid w:val="00421402"/>
    <w:rsid w:val="004228D4"/>
    <w:rsid w:val="00422F65"/>
    <w:rsid w:val="00424A0E"/>
    <w:rsid w:val="004265A9"/>
    <w:rsid w:val="004305D5"/>
    <w:rsid w:val="00430692"/>
    <w:rsid w:val="00430B04"/>
    <w:rsid w:val="004310D9"/>
    <w:rsid w:val="00433603"/>
    <w:rsid w:val="00434D85"/>
    <w:rsid w:val="0043539D"/>
    <w:rsid w:val="0043556F"/>
    <w:rsid w:val="0043583C"/>
    <w:rsid w:val="00435FC6"/>
    <w:rsid w:val="0044023F"/>
    <w:rsid w:val="00440B22"/>
    <w:rsid w:val="004418A3"/>
    <w:rsid w:val="00441A84"/>
    <w:rsid w:val="004435CD"/>
    <w:rsid w:val="00443DF6"/>
    <w:rsid w:val="00444303"/>
    <w:rsid w:val="004444D4"/>
    <w:rsid w:val="00444D4C"/>
    <w:rsid w:val="00446B46"/>
    <w:rsid w:val="0044765A"/>
    <w:rsid w:val="004520C9"/>
    <w:rsid w:val="004522F0"/>
    <w:rsid w:val="00452BF0"/>
    <w:rsid w:val="004600C5"/>
    <w:rsid w:val="00463BC5"/>
    <w:rsid w:val="00464BB9"/>
    <w:rsid w:val="00470453"/>
    <w:rsid w:val="00470979"/>
    <w:rsid w:val="004772D8"/>
    <w:rsid w:val="00477832"/>
    <w:rsid w:val="004834D4"/>
    <w:rsid w:val="00484032"/>
    <w:rsid w:val="00484E84"/>
    <w:rsid w:val="00485968"/>
    <w:rsid w:val="004864A5"/>
    <w:rsid w:val="004918A1"/>
    <w:rsid w:val="00495E95"/>
    <w:rsid w:val="004A01FD"/>
    <w:rsid w:val="004A040A"/>
    <w:rsid w:val="004A0A91"/>
    <w:rsid w:val="004A0AB0"/>
    <w:rsid w:val="004A1BB9"/>
    <w:rsid w:val="004B0B36"/>
    <w:rsid w:val="004B25E7"/>
    <w:rsid w:val="004B3FBB"/>
    <w:rsid w:val="004B4A5F"/>
    <w:rsid w:val="004C1C08"/>
    <w:rsid w:val="004C33FE"/>
    <w:rsid w:val="004C7040"/>
    <w:rsid w:val="004C7202"/>
    <w:rsid w:val="004D0743"/>
    <w:rsid w:val="004D5EFB"/>
    <w:rsid w:val="004E10D6"/>
    <w:rsid w:val="004E12B9"/>
    <w:rsid w:val="004E14C5"/>
    <w:rsid w:val="004E7CF7"/>
    <w:rsid w:val="004E7FCA"/>
    <w:rsid w:val="004F337A"/>
    <w:rsid w:val="004F5681"/>
    <w:rsid w:val="00500BCB"/>
    <w:rsid w:val="00502F0D"/>
    <w:rsid w:val="00505165"/>
    <w:rsid w:val="005054D9"/>
    <w:rsid w:val="005057BE"/>
    <w:rsid w:val="00507B44"/>
    <w:rsid w:val="00510FF9"/>
    <w:rsid w:val="00511451"/>
    <w:rsid w:val="00512229"/>
    <w:rsid w:val="00512546"/>
    <w:rsid w:val="005136BC"/>
    <w:rsid w:val="00513CAE"/>
    <w:rsid w:val="0051524F"/>
    <w:rsid w:val="00516C95"/>
    <w:rsid w:val="00520F7E"/>
    <w:rsid w:val="005248B4"/>
    <w:rsid w:val="00525CC2"/>
    <w:rsid w:val="0052734A"/>
    <w:rsid w:val="00531E46"/>
    <w:rsid w:val="005331B5"/>
    <w:rsid w:val="00533C9E"/>
    <w:rsid w:val="00535B19"/>
    <w:rsid w:val="00535C98"/>
    <w:rsid w:val="005376C1"/>
    <w:rsid w:val="005403F9"/>
    <w:rsid w:val="00540502"/>
    <w:rsid w:val="005417FD"/>
    <w:rsid w:val="00542689"/>
    <w:rsid w:val="00543F86"/>
    <w:rsid w:val="00547529"/>
    <w:rsid w:val="00547BB8"/>
    <w:rsid w:val="00547D50"/>
    <w:rsid w:val="00547EB0"/>
    <w:rsid w:val="005522AF"/>
    <w:rsid w:val="0055391B"/>
    <w:rsid w:val="005556E1"/>
    <w:rsid w:val="00555BD2"/>
    <w:rsid w:val="005573C9"/>
    <w:rsid w:val="00560445"/>
    <w:rsid w:val="00561796"/>
    <w:rsid w:val="00561828"/>
    <w:rsid w:val="00561D8B"/>
    <w:rsid w:val="0056401F"/>
    <w:rsid w:val="00564112"/>
    <w:rsid w:val="00565BB7"/>
    <w:rsid w:val="0056673B"/>
    <w:rsid w:val="00572575"/>
    <w:rsid w:val="00572A7A"/>
    <w:rsid w:val="00573009"/>
    <w:rsid w:val="0057621B"/>
    <w:rsid w:val="00576AA2"/>
    <w:rsid w:val="00577789"/>
    <w:rsid w:val="00582AFE"/>
    <w:rsid w:val="0058380C"/>
    <w:rsid w:val="005838C0"/>
    <w:rsid w:val="00584B54"/>
    <w:rsid w:val="00585819"/>
    <w:rsid w:val="00591103"/>
    <w:rsid w:val="00592150"/>
    <w:rsid w:val="00592F79"/>
    <w:rsid w:val="00593BF4"/>
    <w:rsid w:val="005945C5"/>
    <w:rsid w:val="00594FD5"/>
    <w:rsid w:val="00596BA4"/>
    <w:rsid w:val="005A083B"/>
    <w:rsid w:val="005A09AE"/>
    <w:rsid w:val="005A2331"/>
    <w:rsid w:val="005A2889"/>
    <w:rsid w:val="005A6930"/>
    <w:rsid w:val="005B0C59"/>
    <w:rsid w:val="005B19C6"/>
    <w:rsid w:val="005B1B88"/>
    <w:rsid w:val="005B3005"/>
    <w:rsid w:val="005B3E90"/>
    <w:rsid w:val="005B40C8"/>
    <w:rsid w:val="005B4927"/>
    <w:rsid w:val="005B710B"/>
    <w:rsid w:val="005B76F6"/>
    <w:rsid w:val="005C177E"/>
    <w:rsid w:val="005C1A57"/>
    <w:rsid w:val="005C2465"/>
    <w:rsid w:val="005C2A71"/>
    <w:rsid w:val="005C41DA"/>
    <w:rsid w:val="005C453E"/>
    <w:rsid w:val="005C5571"/>
    <w:rsid w:val="005C5C84"/>
    <w:rsid w:val="005D07B7"/>
    <w:rsid w:val="005E05CE"/>
    <w:rsid w:val="005E0BB9"/>
    <w:rsid w:val="005E1423"/>
    <w:rsid w:val="005E2FB6"/>
    <w:rsid w:val="005E3CA1"/>
    <w:rsid w:val="005E5567"/>
    <w:rsid w:val="005E5DDA"/>
    <w:rsid w:val="005E5F84"/>
    <w:rsid w:val="005F0D59"/>
    <w:rsid w:val="005F2837"/>
    <w:rsid w:val="005F5B3E"/>
    <w:rsid w:val="005F6B88"/>
    <w:rsid w:val="00601CFC"/>
    <w:rsid w:val="006042A6"/>
    <w:rsid w:val="00605043"/>
    <w:rsid w:val="00605CE3"/>
    <w:rsid w:val="00605CF4"/>
    <w:rsid w:val="00605E09"/>
    <w:rsid w:val="00611B10"/>
    <w:rsid w:val="006127C3"/>
    <w:rsid w:val="0061288E"/>
    <w:rsid w:val="00616370"/>
    <w:rsid w:val="006203A3"/>
    <w:rsid w:val="00621177"/>
    <w:rsid w:val="0062119C"/>
    <w:rsid w:val="00621CAE"/>
    <w:rsid w:val="00622479"/>
    <w:rsid w:val="00622C3E"/>
    <w:rsid w:val="0062310F"/>
    <w:rsid w:val="00625407"/>
    <w:rsid w:val="006256C8"/>
    <w:rsid w:val="006268A1"/>
    <w:rsid w:val="00626CA4"/>
    <w:rsid w:val="00627184"/>
    <w:rsid w:val="00627A53"/>
    <w:rsid w:val="00632477"/>
    <w:rsid w:val="00632D5D"/>
    <w:rsid w:val="00636ED0"/>
    <w:rsid w:val="00637513"/>
    <w:rsid w:val="00637F11"/>
    <w:rsid w:val="0064249B"/>
    <w:rsid w:val="0064308A"/>
    <w:rsid w:val="006430CA"/>
    <w:rsid w:val="00643852"/>
    <w:rsid w:val="00644140"/>
    <w:rsid w:val="00644D9F"/>
    <w:rsid w:val="00644FC6"/>
    <w:rsid w:val="00650855"/>
    <w:rsid w:val="006510B5"/>
    <w:rsid w:val="00653C52"/>
    <w:rsid w:val="0065403D"/>
    <w:rsid w:val="00655A2F"/>
    <w:rsid w:val="0065635B"/>
    <w:rsid w:val="006565C1"/>
    <w:rsid w:val="006619E3"/>
    <w:rsid w:val="00661CE6"/>
    <w:rsid w:val="006620FC"/>
    <w:rsid w:val="00665F3B"/>
    <w:rsid w:val="006676CB"/>
    <w:rsid w:val="00670FE0"/>
    <w:rsid w:val="00677A26"/>
    <w:rsid w:val="00680498"/>
    <w:rsid w:val="0068246A"/>
    <w:rsid w:val="00682A25"/>
    <w:rsid w:val="00684E5D"/>
    <w:rsid w:val="00686914"/>
    <w:rsid w:val="00691F7D"/>
    <w:rsid w:val="00692F8D"/>
    <w:rsid w:val="00695D56"/>
    <w:rsid w:val="00695D69"/>
    <w:rsid w:val="0069675E"/>
    <w:rsid w:val="006A0592"/>
    <w:rsid w:val="006A23E8"/>
    <w:rsid w:val="006A3EA0"/>
    <w:rsid w:val="006A54FB"/>
    <w:rsid w:val="006B0143"/>
    <w:rsid w:val="006B1742"/>
    <w:rsid w:val="006B6D6F"/>
    <w:rsid w:val="006C0A6F"/>
    <w:rsid w:val="006C1390"/>
    <w:rsid w:val="006C2574"/>
    <w:rsid w:val="006C4283"/>
    <w:rsid w:val="006C5277"/>
    <w:rsid w:val="006D04AE"/>
    <w:rsid w:val="006D1A83"/>
    <w:rsid w:val="006D25AC"/>
    <w:rsid w:val="006D273B"/>
    <w:rsid w:val="006D3C3F"/>
    <w:rsid w:val="006D4458"/>
    <w:rsid w:val="006D4E89"/>
    <w:rsid w:val="006D641C"/>
    <w:rsid w:val="006E5795"/>
    <w:rsid w:val="006F13C7"/>
    <w:rsid w:val="006F27CC"/>
    <w:rsid w:val="006F3844"/>
    <w:rsid w:val="006F3D7D"/>
    <w:rsid w:val="006F5000"/>
    <w:rsid w:val="006F6228"/>
    <w:rsid w:val="006F7E78"/>
    <w:rsid w:val="0070051B"/>
    <w:rsid w:val="00701040"/>
    <w:rsid w:val="00701453"/>
    <w:rsid w:val="007034D9"/>
    <w:rsid w:val="00705F5E"/>
    <w:rsid w:val="0071014D"/>
    <w:rsid w:val="00710B21"/>
    <w:rsid w:val="007146C0"/>
    <w:rsid w:val="00714FBF"/>
    <w:rsid w:val="00715FD4"/>
    <w:rsid w:val="00716F9E"/>
    <w:rsid w:val="00717F34"/>
    <w:rsid w:val="0072141B"/>
    <w:rsid w:val="00722253"/>
    <w:rsid w:val="00722A83"/>
    <w:rsid w:val="00723161"/>
    <w:rsid w:val="00723618"/>
    <w:rsid w:val="00723C9E"/>
    <w:rsid w:val="007243E1"/>
    <w:rsid w:val="00724A5B"/>
    <w:rsid w:val="007273E2"/>
    <w:rsid w:val="00730A61"/>
    <w:rsid w:val="007311C1"/>
    <w:rsid w:val="00734A4F"/>
    <w:rsid w:val="00735962"/>
    <w:rsid w:val="007364A7"/>
    <w:rsid w:val="00736B89"/>
    <w:rsid w:val="00737816"/>
    <w:rsid w:val="00740CA6"/>
    <w:rsid w:val="0074189F"/>
    <w:rsid w:val="00743D3A"/>
    <w:rsid w:val="007446D7"/>
    <w:rsid w:val="00744708"/>
    <w:rsid w:val="007460D8"/>
    <w:rsid w:val="00746C9A"/>
    <w:rsid w:val="0075099E"/>
    <w:rsid w:val="00751976"/>
    <w:rsid w:val="00751B00"/>
    <w:rsid w:val="00754138"/>
    <w:rsid w:val="00762C7C"/>
    <w:rsid w:val="007631E8"/>
    <w:rsid w:val="00764178"/>
    <w:rsid w:val="00767994"/>
    <w:rsid w:val="00773F32"/>
    <w:rsid w:val="00777EF4"/>
    <w:rsid w:val="007818E8"/>
    <w:rsid w:val="007829F4"/>
    <w:rsid w:val="007846CD"/>
    <w:rsid w:val="007866A3"/>
    <w:rsid w:val="007905F4"/>
    <w:rsid w:val="007915CB"/>
    <w:rsid w:val="00793E4B"/>
    <w:rsid w:val="00794EBB"/>
    <w:rsid w:val="00795672"/>
    <w:rsid w:val="0079667A"/>
    <w:rsid w:val="007968FD"/>
    <w:rsid w:val="00796CE9"/>
    <w:rsid w:val="007972AA"/>
    <w:rsid w:val="007A27B1"/>
    <w:rsid w:val="007A4A87"/>
    <w:rsid w:val="007A5127"/>
    <w:rsid w:val="007B1201"/>
    <w:rsid w:val="007B13B4"/>
    <w:rsid w:val="007B1AC6"/>
    <w:rsid w:val="007B2FD5"/>
    <w:rsid w:val="007B4866"/>
    <w:rsid w:val="007B4DA2"/>
    <w:rsid w:val="007B5226"/>
    <w:rsid w:val="007B67C1"/>
    <w:rsid w:val="007B7A45"/>
    <w:rsid w:val="007C1596"/>
    <w:rsid w:val="007C2957"/>
    <w:rsid w:val="007C2FC0"/>
    <w:rsid w:val="007C375A"/>
    <w:rsid w:val="007C3C6B"/>
    <w:rsid w:val="007C50FC"/>
    <w:rsid w:val="007C638B"/>
    <w:rsid w:val="007C64D4"/>
    <w:rsid w:val="007C6B75"/>
    <w:rsid w:val="007C6BE1"/>
    <w:rsid w:val="007C716B"/>
    <w:rsid w:val="007D00B7"/>
    <w:rsid w:val="007D020F"/>
    <w:rsid w:val="007D0724"/>
    <w:rsid w:val="007D1EA5"/>
    <w:rsid w:val="007D35EB"/>
    <w:rsid w:val="007D3AB4"/>
    <w:rsid w:val="007D3D8B"/>
    <w:rsid w:val="007D626A"/>
    <w:rsid w:val="007E1F42"/>
    <w:rsid w:val="007E215B"/>
    <w:rsid w:val="007E352F"/>
    <w:rsid w:val="007F28A2"/>
    <w:rsid w:val="007F4D19"/>
    <w:rsid w:val="007F6C1C"/>
    <w:rsid w:val="007F77CD"/>
    <w:rsid w:val="007F7A05"/>
    <w:rsid w:val="008005AD"/>
    <w:rsid w:val="008011E7"/>
    <w:rsid w:val="008016AF"/>
    <w:rsid w:val="0080269C"/>
    <w:rsid w:val="00807EA5"/>
    <w:rsid w:val="008118CA"/>
    <w:rsid w:val="008119FF"/>
    <w:rsid w:val="008121C4"/>
    <w:rsid w:val="008124B2"/>
    <w:rsid w:val="0081344A"/>
    <w:rsid w:val="008136D4"/>
    <w:rsid w:val="00813EAF"/>
    <w:rsid w:val="008150AF"/>
    <w:rsid w:val="00820A35"/>
    <w:rsid w:val="00820B04"/>
    <w:rsid w:val="008222AA"/>
    <w:rsid w:val="00822512"/>
    <w:rsid w:val="00822FEA"/>
    <w:rsid w:val="008248ED"/>
    <w:rsid w:val="0082492D"/>
    <w:rsid w:val="00824FD9"/>
    <w:rsid w:val="00830B91"/>
    <w:rsid w:val="008324E6"/>
    <w:rsid w:val="00833816"/>
    <w:rsid w:val="00833E46"/>
    <w:rsid w:val="00834A71"/>
    <w:rsid w:val="00836B32"/>
    <w:rsid w:val="00837737"/>
    <w:rsid w:val="00837B38"/>
    <w:rsid w:val="00837FDC"/>
    <w:rsid w:val="008414E7"/>
    <w:rsid w:val="00841DEC"/>
    <w:rsid w:val="00843DC5"/>
    <w:rsid w:val="00844B16"/>
    <w:rsid w:val="008464DA"/>
    <w:rsid w:val="00846938"/>
    <w:rsid w:val="00851810"/>
    <w:rsid w:val="00851D19"/>
    <w:rsid w:val="0085254A"/>
    <w:rsid w:val="00853131"/>
    <w:rsid w:val="00855CE3"/>
    <w:rsid w:val="008572D7"/>
    <w:rsid w:val="00857E13"/>
    <w:rsid w:val="0086288C"/>
    <w:rsid w:val="00863023"/>
    <w:rsid w:val="00864236"/>
    <w:rsid w:val="00864730"/>
    <w:rsid w:val="00865FF3"/>
    <w:rsid w:val="008668F1"/>
    <w:rsid w:val="00872200"/>
    <w:rsid w:val="00873B1F"/>
    <w:rsid w:val="008745B0"/>
    <w:rsid w:val="00874EAF"/>
    <w:rsid w:val="00875BFD"/>
    <w:rsid w:val="00876253"/>
    <w:rsid w:val="00877FE2"/>
    <w:rsid w:val="008804C7"/>
    <w:rsid w:val="00883BFA"/>
    <w:rsid w:val="00884908"/>
    <w:rsid w:val="00887584"/>
    <w:rsid w:val="00890FC4"/>
    <w:rsid w:val="008A0D26"/>
    <w:rsid w:val="008A522C"/>
    <w:rsid w:val="008A5DD4"/>
    <w:rsid w:val="008A5FF8"/>
    <w:rsid w:val="008B1A85"/>
    <w:rsid w:val="008B22F5"/>
    <w:rsid w:val="008B7BCF"/>
    <w:rsid w:val="008C0138"/>
    <w:rsid w:val="008C1117"/>
    <w:rsid w:val="008C1C54"/>
    <w:rsid w:val="008C677D"/>
    <w:rsid w:val="008C6C58"/>
    <w:rsid w:val="008C6D6D"/>
    <w:rsid w:val="008C7478"/>
    <w:rsid w:val="008D0B75"/>
    <w:rsid w:val="008D1600"/>
    <w:rsid w:val="008D2F11"/>
    <w:rsid w:val="008D3660"/>
    <w:rsid w:val="008D42CB"/>
    <w:rsid w:val="008D44DE"/>
    <w:rsid w:val="008E4C6B"/>
    <w:rsid w:val="008E70A8"/>
    <w:rsid w:val="008F0263"/>
    <w:rsid w:val="008F320C"/>
    <w:rsid w:val="008F7C8D"/>
    <w:rsid w:val="008F7D7F"/>
    <w:rsid w:val="00901F76"/>
    <w:rsid w:val="009031D2"/>
    <w:rsid w:val="00904E7F"/>
    <w:rsid w:val="00906493"/>
    <w:rsid w:val="00907290"/>
    <w:rsid w:val="0090782A"/>
    <w:rsid w:val="009103C8"/>
    <w:rsid w:val="009109D1"/>
    <w:rsid w:val="00913C19"/>
    <w:rsid w:val="00913FBA"/>
    <w:rsid w:val="00914F42"/>
    <w:rsid w:val="0091582B"/>
    <w:rsid w:val="00916682"/>
    <w:rsid w:val="00916C9F"/>
    <w:rsid w:val="00916DC2"/>
    <w:rsid w:val="009171D9"/>
    <w:rsid w:val="00917222"/>
    <w:rsid w:val="009212D7"/>
    <w:rsid w:val="0092324A"/>
    <w:rsid w:val="00923CD3"/>
    <w:rsid w:val="009243FD"/>
    <w:rsid w:val="00924CB3"/>
    <w:rsid w:val="00927633"/>
    <w:rsid w:val="00930646"/>
    <w:rsid w:val="009313B3"/>
    <w:rsid w:val="009328A6"/>
    <w:rsid w:val="009332D4"/>
    <w:rsid w:val="00933EA1"/>
    <w:rsid w:val="009357E8"/>
    <w:rsid w:val="00936B29"/>
    <w:rsid w:val="00937843"/>
    <w:rsid w:val="00937EF5"/>
    <w:rsid w:val="009410BB"/>
    <w:rsid w:val="00941651"/>
    <w:rsid w:val="009420F8"/>
    <w:rsid w:val="009428DA"/>
    <w:rsid w:val="009436A2"/>
    <w:rsid w:val="00943CD4"/>
    <w:rsid w:val="00944A9E"/>
    <w:rsid w:val="00946468"/>
    <w:rsid w:val="00946613"/>
    <w:rsid w:val="00946D87"/>
    <w:rsid w:val="00947ADF"/>
    <w:rsid w:val="00951500"/>
    <w:rsid w:val="0095178E"/>
    <w:rsid w:val="009529A6"/>
    <w:rsid w:val="00957F72"/>
    <w:rsid w:val="00961703"/>
    <w:rsid w:val="00961A50"/>
    <w:rsid w:val="00961D21"/>
    <w:rsid w:val="0096273C"/>
    <w:rsid w:val="0096566D"/>
    <w:rsid w:val="009662D4"/>
    <w:rsid w:val="0096671B"/>
    <w:rsid w:val="00966D51"/>
    <w:rsid w:val="00967EE4"/>
    <w:rsid w:val="00970BE8"/>
    <w:rsid w:val="00973785"/>
    <w:rsid w:val="00973E93"/>
    <w:rsid w:val="00973FC8"/>
    <w:rsid w:val="009741AA"/>
    <w:rsid w:val="0097459C"/>
    <w:rsid w:val="00975B7A"/>
    <w:rsid w:val="00975B7D"/>
    <w:rsid w:val="00977F11"/>
    <w:rsid w:val="009802AB"/>
    <w:rsid w:val="00982F50"/>
    <w:rsid w:val="009837B0"/>
    <w:rsid w:val="00986B05"/>
    <w:rsid w:val="00986C1A"/>
    <w:rsid w:val="00986F4A"/>
    <w:rsid w:val="00990CC2"/>
    <w:rsid w:val="009914BA"/>
    <w:rsid w:val="00993A32"/>
    <w:rsid w:val="00994F8C"/>
    <w:rsid w:val="0099516C"/>
    <w:rsid w:val="009A206D"/>
    <w:rsid w:val="009A5ECD"/>
    <w:rsid w:val="009A7BF2"/>
    <w:rsid w:val="009B1335"/>
    <w:rsid w:val="009C0791"/>
    <w:rsid w:val="009C0A09"/>
    <w:rsid w:val="009C1BEC"/>
    <w:rsid w:val="009C2449"/>
    <w:rsid w:val="009C32DE"/>
    <w:rsid w:val="009C4A4E"/>
    <w:rsid w:val="009C5329"/>
    <w:rsid w:val="009C7C91"/>
    <w:rsid w:val="009C7CBF"/>
    <w:rsid w:val="009D5FF6"/>
    <w:rsid w:val="009D6024"/>
    <w:rsid w:val="009D61DC"/>
    <w:rsid w:val="009D6600"/>
    <w:rsid w:val="009E096D"/>
    <w:rsid w:val="009E1252"/>
    <w:rsid w:val="009E3A8F"/>
    <w:rsid w:val="009E3E26"/>
    <w:rsid w:val="009E436E"/>
    <w:rsid w:val="009E4F67"/>
    <w:rsid w:val="009E636B"/>
    <w:rsid w:val="009E719B"/>
    <w:rsid w:val="009F0907"/>
    <w:rsid w:val="009F223B"/>
    <w:rsid w:val="009F3C78"/>
    <w:rsid w:val="009F45B2"/>
    <w:rsid w:val="009F5609"/>
    <w:rsid w:val="009F63F7"/>
    <w:rsid w:val="009F723A"/>
    <w:rsid w:val="00A00187"/>
    <w:rsid w:val="00A00DAC"/>
    <w:rsid w:val="00A05AA6"/>
    <w:rsid w:val="00A066E0"/>
    <w:rsid w:val="00A1180F"/>
    <w:rsid w:val="00A12AE3"/>
    <w:rsid w:val="00A138C4"/>
    <w:rsid w:val="00A14D45"/>
    <w:rsid w:val="00A1515E"/>
    <w:rsid w:val="00A16B58"/>
    <w:rsid w:val="00A1744E"/>
    <w:rsid w:val="00A17883"/>
    <w:rsid w:val="00A1796C"/>
    <w:rsid w:val="00A17AC4"/>
    <w:rsid w:val="00A17EC9"/>
    <w:rsid w:val="00A202DE"/>
    <w:rsid w:val="00A2282F"/>
    <w:rsid w:val="00A24F06"/>
    <w:rsid w:val="00A25BAC"/>
    <w:rsid w:val="00A27705"/>
    <w:rsid w:val="00A35EE6"/>
    <w:rsid w:val="00A37640"/>
    <w:rsid w:val="00A37EA9"/>
    <w:rsid w:val="00A411D8"/>
    <w:rsid w:val="00A4173E"/>
    <w:rsid w:val="00A44757"/>
    <w:rsid w:val="00A44C93"/>
    <w:rsid w:val="00A46718"/>
    <w:rsid w:val="00A4713E"/>
    <w:rsid w:val="00A526B1"/>
    <w:rsid w:val="00A52BB2"/>
    <w:rsid w:val="00A56C6C"/>
    <w:rsid w:val="00A56DDB"/>
    <w:rsid w:val="00A576EA"/>
    <w:rsid w:val="00A57B6E"/>
    <w:rsid w:val="00A605A0"/>
    <w:rsid w:val="00A65D41"/>
    <w:rsid w:val="00A66298"/>
    <w:rsid w:val="00A70529"/>
    <w:rsid w:val="00A73714"/>
    <w:rsid w:val="00A745DA"/>
    <w:rsid w:val="00A75118"/>
    <w:rsid w:val="00A81034"/>
    <w:rsid w:val="00A81154"/>
    <w:rsid w:val="00A824AA"/>
    <w:rsid w:val="00A90D3F"/>
    <w:rsid w:val="00A9140B"/>
    <w:rsid w:val="00A91D38"/>
    <w:rsid w:val="00A96475"/>
    <w:rsid w:val="00A97663"/>
    <w:rsid w:val="00AA0048"/>
    <w:rsid w:val="00AA039F"/>
    <w:rsid w:val="00AA1303"/>
    <w:rsid w:val="00AA16B0"/>
    <w:rsid w:val="00AA2D85"/>
    <w:rsid w:val="00AA5319"/>
    <w:rsid w:val="00AA5700"/>
    <w:rsid w:val="00AA5F30"/>
    <w:rsid w:val="00AA6A0B"/>
    <w:rsid w:val="00AB02B7"/>
    <w:rsid w:val="00AB047E"/>
    <w:rsid w:val="00AB2299"/>
    <w:rsid w:val="00AB3681"/>
    <w:rsid w:val="00AB4E5D"/>
    <w:rsid w:val="00AB7B41"/>
    <w:rsid w:val="00AC1622"/>
    <w:rsid w:val="00AC36BF"/>
    <w:rsid w:val="00AC3777"/>
    <w:rsid w:val="00AC403B"/>
    <w:rsid w:val="00AC4BD7"/>
    <w:rsid w:val="00AC51B0"/>
    <w:rsid w:val="00AC6B1C"/>
    <w:rsid w:val="00AD168F"/>
    <w:rsid w:val="00AD1A84"/>
    <w:rsid w:val="00AD30BC"/>
    <w:rsid w:val="00AD5BAB"/>
    <w:rsid w:val="00AE21FE"/>
    <w:rsid w:val="00AE564F"/>
    <w:rsid w:val="00AF0057"/>
    <w:rsid w:val="00AF134B"/>
    <w:rsid w:val="00AF1BF1"/>
    <w:rsid w:val="00AF28BB"/>
    <w:rsid w:val="00AF36BB"/>
    <w:rsid w:val="00AF649B"/>
    <w:rsid w:val="00AF6E93"/>
    <w:rsid w:val="00B000F6"/>
    <w:rsid w:val="00B0121F"/>
    <w:rsid w:val="00B01269"/>
    <w:rsid w:val="00B020C6"/>
    <w:rsid w:val="00B0350F"/>
    <w:rsid w:val="00B057C6"/>
    <w:rsid w:val="00B0777C"/>
    <w:rsid w:val="00B07FC6"/>
    <w:rsid w:val="00B11ECB"/>
    <w:rsid w:val="00B129A6"/>
    <w:rsid w:val="00B143CF"/>
    <w:rsid w:val="00B15440"/>
    <w:rsid w:val="00B22B7B"/>
    <w:rsid w:val="00B239B9"/>
    <w:rsid w:val="00B25705"/>
    <w:rsid w:val="00B31ED5"/>
    <w:rsid w:val="00B33C4F"/>
    <w:rsid w:val="00B3431A"/>
    <w:rsid w:val="00B367CA"/>
    <w:rsid w:val="00B372A3"/>
    <w:rsid w:val="00B41E9A"/>
    <w:rsid w:val="00B43609"/>
    <w:rsid w:val="00B509A5"/>
    <w:rsid w:val="00B509F9"/>
    <w:rsid w:val="00B51A1E"/>
    <w:rsid w:val="00B556A1"/>
    <w:rsid w:val="00B55777"/>
    <w:rsid w:val="00B57EE5"/>
    <w:rsid w:val="00B60361"/>
    <w:rsid w:val="00B62466"/>
    <w:rsid w:val="00B624E8"/>
    <w:rsid w:val="00B64CF4"/>
    <w:rsid w:val="00B66B92"/>
    <w:rsid w:val="00B67F34"/>
    <w:rsid w:val="00B71DAA"/>
    <w:rsid w:val="00B72B43"/>
    <w:rsid w:val="00B760D8"/>
    <w:rsid w:val="00B7640F"/>
    <w:rsid w:val="00B76C07"/>
    <w:rsid w:val="00B8140A"/>
    <w:rsid w:val="00B84454"/>
    <w:rsid w:val="00B8453D"/>
    <w:rsid w:val="00B87A2A"/>
    <w:rsid w:val="00B91FE5"/>
    <w:rsid w:val="00B92E69"/>
    <w:rsid w:val="00B963EF"/>
    <w:rsid w:val="00B971DD"/>
    <w:rsid w:val="00B97CE6"/>
    <w:rsid w:val="00BA0A63"/>
    <w:rsid w:val="00BA32D8"/>
    <w:rsid w:val="00BA5BCC"/>
    <w:rsid w:val="00BA7547"/>
    <w:rsid w:val="00BA7B2B"/>
    <w:rsid w:val="00BA7CDC"/>
    <w:rsid w:val="00BB0DB5"/>
    <w:rsid w:val="00BB0DCF"/>
    <w:rsid w:val="00BB1122"/>
    <w:rsid w:val="00BB1ADC"/>
    <w:rsid w:val="00BB1FA7"/>
    <w:rsid w:val="00BB275F"/>
    <w:rsid w:val="00BB3E45"/>
    <w:rsid w:val="00BB4D73"/>
    <w:rsid w:val="00BB5369"/>
    <w:rsid w:val="00BB5BB7"/>
    <w:rsid w:val="00BC153D"/>
    <w:rsid w:val="00BC2644"/>
    <w:rsid w:val="00BC5DCC"/>
    <w:rsid w:val="00BC6C9F"/>
    <w:rsid w:val="00BD1631"/>
    <w:rsid w:val="00BD19DE"/>
    <w:rsid w:val="00BD28CF"/>
    <w:rsid w:val="00BD5B2B"/>
    <w:rsid w:val="00BE08F5"/>
    <w:rsid w:val="00BE0D55"/>
    <w:rsid w:val="00BE5CBE"/>
    <w:rsid w:val="00BE6C9D"/>
    <w:rsid w:val="00BF02AF"/>
    <w:rsid w:val="00BF07B5"/>
    <w:rsid w:val="00BF0A9B"/>
    <w:rsid w:val="00BF3347"/>
    <w:rsid w:val="00BF3577"/>
    <w:rsid w:val="00BF3EBC"/>
    <w:rsid w:val="00BF46A9"/>
    <w:rsid w:val="00BF57C8"/>
    <w:rsid w:val="00C00E2F"/>
    <w:rsid w:val="00C0128B"/>
    <w:rsid w:val="00C01A7B"/>
    <w:rsid w:val="00C03500"/>
    <w:rsid w:val="00C041E8"/>
    <w:rsid w:val="00C052E7"/>
    <w:rsid w:val="00C05759"/>
    <w:rsid w:val="00C12A91"/>
    <w:rsid w:val="00C145D1"/>
    <w:rsid w:val="00C167B1"/>
    <w:rsid w:val="00C16E9F"/>
    <w:rsid w:val="00C24320"/>
    <w:rsid w:val="00C27D49"/>
    <w:rsid w:val="00C30462"/>
    <w:rsid w:val="00C313ED"/>
    <w:rsid w:val="00C32EBC"/>
    <w:rsid w:val="00C336E4"/>
    <w:rsid w:val="00C34B41"/>
    <w:rsid w:val="00C36877"/>
    <w:rsid w:val="00C37A2A"/>
    <w:rsid w:val="00C41512"/>
    <w:rsid w:val="00C41644"/>
    <w:rsid w:val="00C4429C"/>
    <w:rsid w:val="00C47960"/>
    <w:rsid w:val="00C522F9"/>
    <w:rsid w:val="00C53F70"/>
    <w:rsid w:val="00C54ECF"/>
    <w:rsid w:val="00C55761"/>
    <w:rsid w:val="00C55F9D"/>
    <w:rsid w:val="00C611D9"/>
    <w:rsid w:val="00C627C0"/>
    <w:rsid w:val="00C65D9C"/>
    <w:rsid w:val="00C725A8"/>
    <w:rsid w:val="00C7487A"/>
    <w:rsid w:val="00C80301"/>
    <w:rsid w:val="00C8464C"/>
    <w:rsid w:val="00C84C0D"/>
    <w:rsid w:val="00C85631"/>
    <w:rsid w:val="00C87E67"/>
    <w:rsid w:val="00C907C9"/>
    <w:rsid w:val="00C90BC5"/>
    <w:rsid w:val="00C94E06"/>
    <w:rsid w:val="00C9672E"/>
    <w:rsid w:val="00C967C4"/>
    <w:rsid w:val="00C9745B"/>
    <w:rsid w:val="00C977B5"/>
    <w:rsid w:val="00C97A93"/>
    <w:rsid w:val="00CA0F84"/>
    <w:rsid w:val="00CA4BD4"/>
    <w:rsid w:val="00CA4D6F"/>
    <w:rsid w:val="00CA50F7"/>
    <w:rsid w:val="00CA6EDF"/>
    <w:rsid w:val="00CA7A4B"/>
    <w:rsid w:val="00CB064D"/>
    <w:rsid w:val="00CB1FD2"/>
    <w:rsid w:val="00CB3049"/>
    <w:rsid w:val="00CB43A8"/>
    <w:rsid w:val="00CB5457"/>
    <w:rsid w:val="00CB6B14"/>
    <w:rsid w:val="00CC121E"/>
    <w:rsid w:val="00CC3030"/>
    <w:rsid w:val="00CC3AFC"/>
    <w:rsid w:val="00CC59F7"/>
    <w:rsid w:val="00CC7903"/>
    <w:rsid w:val="00CD5358"/>
    <w:rsid w:val="00CD5EA9"/>
    <w:rsid w:val="00CD6842"/>
    <w:rsid w:val="00CD74BC"/>
    <w:rsid w:val="00CD7718"/>
    <w:rsid w:val="00CE05D8"/>
    <w:rsid w:val="00CE2389"/>
    <w:rsid w:val="00CE32FD"/>
    <w:rsid w:val="00CE41B9"/>
    <w:rsid w:val="00CE52D2"/>
    <w:rsid w:val="00CE5D9F"/>
    <w:rsid w:val="00D008AD"/>
    <w:rsid w:val="00D00AAB"/>
    <w:rsid w:val="00D0311B"/>
    <w:rsid w:val="00D16911"/>
    <w:rsid w:val="00D16D21"/>
    <w:rsid w:val="00D17472"/>
    <w:rsid w:val="00D225A1"/>
    <w:rsid w:val="00D23845"/>
    <w:rsid w:val="00D24659"/>
    <w:rsid w:val="00D24E63"/>
    <w:rsid w:val="00D24F50"/>
    <w:rsid w:val="00D26286"/>
    <w:rsid w:val="00D26DED"/>
    <w:rsid w:val="00D306CE"/>
    <w:rsid w:val="00D30925"/>
    <w:rsid w:val="00D317CD"/>
    <w:rsid w:val="00D32061"/>
    <w:rsid w:val="00D3206E"/>
    <w:rsid w:val="00D32836"/>
    <w:rsid w:val="00D32E54"/>
    <w:rsid w:val="00D338D8"/>
    <w:rsid w:val="00D33FBB"/>
    <w:rsid w:val="00D35718"/>
    <w:rsid w:val="00D41721"/>
    <w:rsid w:val="00D41837"/>
    <w:rsid w:val="00D41DAF"/>
    <w:rsid w:val="00D42BCF"/>
    <w:rsid w:val="00D42E09"/>
    <w:rsid w:val="00D438A8"/>
    <w:rsid w:val="00D44091"/>
    <w:rsid w:val="00D45BF2"/>
    <w:rsid w:val="00D471E0"/>
    <w:rsid w:val="00D515BA"/>
    <w:rsid w:val="00D51F21"/>
    <w:rsid w:val="00D532EE"/>
    <w:rsid w:val="00D53F67"/>
    <w:rsid w:val="00D56505"/>
    <w:rsid w:val="00D566EA"/>
    <w:rsid w:val="00D60504"/>
    <w:rsid w:val="00D60F1F"/>
    <w:rsid w:val="00D626D7"/>
    <w:rsid w:val="00D63F9C"/>
    <w:rsid w:val="00D67D46"/>
    <w:rsid w:val="00D70279"/>
    <w:rsid w:val="00D73F66"/>
    <w:rsid w:val="00D772BC"/>
    <w:rsid w:val="00D8149A"/>
    <w:rsid w:val="00D838D2"/>
    <w:rsid w:val="00D848F4"/>
    <w:rsid w:val="00D84A79"/>
    <w:rsid w:val="00D8727B"/>
    <w:rsid w:val="00D91D9D"/>
    <w:rsid w:val="00D91F5E"/>
    <w:rsid w:val="00D9346E"/>
    <w:rsid w:val="00D945EB"/>
    <w:rsid w:val="00D97E59"/>
    <w:rsid w:val="00DA1D14"/>
    <w:rsid w:val="00DA325F"/>
    <w:rsid w:val="00DA52AE"/>
    <w:rsid w:val="00DA59E7"/>
    <w:rsid w:val="00DB0355"/>
    <w:rsid w:val="00DB0C99"/>
    <w:rsid w:val="00DB14F0"/>
    <w:rsid w:val="00DB163D"/>
    <w:rsid w:val="00DB1C0A"/>
    <w:rsid w:val="00DB21B7"/>
    <w:rsid w:val="00DB3497"/>
    <w:rsid w:val="00DB641D"/>
    <w:rsid w:val="00DB6EFF"/>
    <w:rsid w:val="00DC476A"/>
    <w:rsid w:val="00DC632E"/>
    <w:rsid w:val="00DC7250"/>
    <w:rsid w:val="00DC74D1"/>
    <w:rsid w:val="00DD0919"/>
    <w:rsid w:val="00DD0F84"/>
    <w:rsid w:val="00DD0F86"/>
    <w:rsid w:val="00DD215E"/>
    <w:rsid w:val="00DD2808"/>
    <w:rsid w:val="00DD6755"/>
    <w:rsid w:val="00DE283A"/>
    <w:rsid w:val="00DE4FAF"/>
    <w:rsid w:val="00DE6530"/>
    <w:rsid w:val="00DE72A5"/>
    <w:rsid w:val="00DF0B25"/>
    <w:rsid w:val="00DF672A"/>
    <w:rsid w:val="00E00157"/>
    <w:rsid w:val="00E02273"/>
    <w:rsid w:val="00E02314"/>
    <w:rsid w:val="00E027D8"/>
    <w:rsid w:val="00E03DF2"/>
    <w:rsid w:val="00E03FCE"/>
    <w:rsid w:val="00E0407D"/>
    <w:rsid w:val="00E0719D"/>
    <w:rsid w:val="00E07BAB"/>
    <w:rsid w:val="00E11CA3"/>
    <w:rsid w:val="00E11D5E"/>
    <w:rsid w:val="00E15CC3"/>
    <w:rsid w:val="00E16006"/>
    <w:rsid w:val="00E164E5"/>
    <w:rsid w:val="00E17668"/>
    <w:rsid w:val="00E200D6"/>
    <w:rsid w:val="00E22D61"/>
    <w:rsid w:val="00E24771"/>
    <w:rsid w:val="00E27422"/>
    <w:rsid w:val="00E277C6"/>
    <w:rsid w:val="00E30DD6"/>
    <w:rsid w:val="00E32715"/>
    <w:rsid w:val="00E3419F"/>
    <w:rsid w:val="00E34EED"/>
    <w:rsid w:val="00E35214"/>
    <w:rsid w:val="00E41231"/>
    <w:rsid w:val="00E41E6D"/>
    <w:rsid w:val="00E45757"/>
    <w:rsid w:val="00E474AD"/>
    <w:rsid w:val="00E5353A"/>
    <w:rsid w:val="00E56A25"/>
    <w:rsid w:val="00E61996"/>
    <w:rsid w:val="00E61C50"/>
    <w:rsid w:val="00E62280"/>
    <w:rsid w:val="00E6437A"/>
    <w:rsid w:val="00E648DE"/>
    <w:rsid w:val="00E65B89"/>
    <w:rsid w:val="00E65F53"/>
    <w:rsid w:val="00E6722E"/>
    <w:rsid w:val="00E67288"/>
    <w:rsid w:val="00E67719"/>
    <w:rsid w:val="00E67E81"/>
    <w:rsid w:val="00E74333"/>
    <w:rsid w:val="00E760FE"/>
    <w:rsid w:val="00E80FDB"/>
    <w:rsid w:val="00E83847"/>
    <w:rsid w:val="00E83907"/>
    <w:rsid w:val="00E85061"/>
    <w:rsid w:val="00E85DAE"/>
    <w:rsid w:val="00E85F67"/>
    <w:rsid w:val="00E923D1"/>
    <w:rsid w:val="00E92F20"/>
    <w:rsid w:val="00EA223A"/>
    <w:rsid w:val="00EA5249"/>
    <w:rsid w:val="00EA56DD"/>
    <w:rsid w:val="00EA79C4"/>
    <w:rsid w:val="00EB05EC"/>
    <w:rsid w:val="00EB36E4"/>
    <w:rsid w:val="00EB390B"/>
    <w:rsid w:val="00EB4AD3"/>
    <w:rsid w:val="00EB63BF"/>
    <w:rsid w:val="00EB7FA0"/>
    <w:rsid w:val="00EC00C7"/>
    <w:rsid w:val="00EC06B7"/>
    <w:rsid w:val="00EC2160"/>
    <w:rsid w:val="00EC429A"/>
    <w:rsid w:val="00EC4A94"/>
    <w:rsid w:val="00EC5131"/>
    <w:rsid w:val="00ED3174"/>
    <w:rsid w:val="00ED3ECD"/>
    <w:rsid w:val="00ED4AA1"/>
    <w:rsid w:val="00EE00E3"/>
    <w:rsid w:val="00EE087F"/>
    <w:rsid w:val="00EE20C8"/>
    <w:rsid w:val="00EE414E"/>
    <w:rsid w:val="00EE4F32"/>
    <w:rsid w:val="00EF01E5"/>
    <w:rsid w:val="00EF46CA"/>
    <w:rsid w:val="00EF7052"/>
    <w:rsid w:val="00F01647"/>
    <w:rsid w:val="00F01C64"/>
    <w:rsid w:val="00F022C9"/>
    <w:rsid w:val="00F02A68"/>
    <w:rsid w:val="00F0313F"/>
    <w:rsid w:val="00F03A66"/>
    <w:rsid w:val="00F05151"/>
    <w:rsid w:val="00F06A0C"/>
    <w:rsid w:val="00F12E36"/>
    <w:rsid w:val="00F14265"/>
    <w:rsid w:val="00F14B99"/>
    <w:rsid w:val="00F20453"/>
    <w:rsid w:val="00F208F4"/>
    <w:rsid w:val="00F23CCE"/>
    <w:rsid w:val="00F2560D"/>
    <w:rsid w:val="00F25794"/>
    <w:rsid w:val="00F25879"/>
    <w:rsid w:val="00F25FA6"/>
    <w:rsid w:val="00F27BD1"/>
    <w:rsid w:val="00F3033A"/>
    <w:rsid w:val="00F31781"/>
    <w:rsid w:val="00F32363"/>
    <w:rsid w:val="00F32D24"/>
    <w:rsid w:val="00F33C39"/>
    <w:rsid w:val="00F35F38"/>
    <w:rsid w:val="00F3606F"/>
    <w:rsid w:val="00F36B6D"/>
    <w:rsid w:val="00F376BF"/>
    <w:rsid w:val="00F40511"/>
    <w:rsid w:val="00F40890"/>
    <w:rsid w:val="00F42205"/>
    <w:rsid w:val="00F42ECD"/>
    <w:rsid w:val="00F42F77"/>
    <w:rsid w:val="00F43281"/>
    <w:rsid w:val="00F446BA"/>
    <w:rsid w:val="00F47866"/>
    <w:rsid w:val="00F507B1"/>
    <w:rsid w:val="00F5302D"/>
    <w:rsid w:val="00F5446F"/>
    <w:rsid w:val="00F54D96"/>
    <w:rsid w:val="00F63720"/>
    <w:rsid w:val="00F63E59"/>
    <w:rsid w:val="00F64854"/>
    <w:rsid w:val="00F65290"/>
    <w:rsid w:val="00F66155"/>
    <w:rsid w:val="00F70D5D"/>
    <w:rsid w:val="00F73267"/>
    <w:rsid w:val="00F80D1A"/>
    <w:rsid w:val="00F8223E"/>
    <w:rsid w:val="00F83883"/>
    <w:rsid w:val="00F83F89"/>
    <w:rsid w:val="00F86884"/>
    <w:rsid w:val="00F86A09"/>
    <w:rsid w:val="00F86A13"/>
    <w:rsid w:val="00F879D2"/>
    <w:rsid w:val="00F87F9A"/>
    <w:rsid w:val="00F91685"/>
    <w:rsid w:val="00F95865"/>
    <w:rsid w:val="00F966C0"/>
    <w:rsid w:val="00FA2E76"/>
    <w:rsid w:val="00FA521F"/>
    <w:rsid w:val="00FA6A86"/>
    <w:rsid w:val="00FA7798"/>
    <w:rsid w:val="00FB004B"/>
    <w:rsid w:val="00FB100F"/>
    <w:rsid w:val="00FB18BC"/>
    <w:rsid w:val="00FB4805"/>
    <w:rsid w:val="00FB7A69"/>
    <w:rsid w:val="00FC16FA"/>
    <w:rsid w:val="00FC1CC8"/>
    <w:rsid w:val="00FC3622"/>
    <w:rsid w:val="00FC3A35"/>
    <w:rsid w:val="00FC4144"/>
    <w:rsid w:val="00FC514D"/>
    <w:rsid w:val="00FC66CB"/>
    <w:rsid w:val="00FD0BF5"/>
    <w:rsid w:val="00FD2E72"/>
    <w:rsid w:val="00FD30E4"/>
    <w:rsid w:val="00FD3D5A"/>
    <w:rsid w:val="00FD50F1"/>
    <w:rsid w:val="00FD6BD8"/>
    <w:rsid w:val="00FD7301"/>
    <w:rsid w:val="00FD7D02"/>
    <w:rsid w:val="00FE2873"/>
    <w:rsid w:val="00FE3668"/>
    <w:rsid w:val="00FE3E2F"/>
    <w:rsid w:val="00FE51B4"/>
    <w:rsid w:val="00FE6B71"/>
    <w:rsid w:val="00FE716F"/>
    <w:rsid w:val="00FF07BC"/>
    <w:rsid w:val="00FF5211"/>
    <w:rsid w:val="261F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9F45"/>
  <w15:chartTrackingRefBased/>
  <w15:docId w15:val="{863D26A4-6094-4CB9-A449-5D469FB3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B6"/>
    <w:pPr>
      <w:spacing w:after="120"/>
      <w:jc w:val="both"/>
    </w:pPr>
    <w:rPr>
      <w:rFonts w:ascii="Trebuchet MS" w:hAnsi="Trebuchet MS"/>
      <w:sz w:val="22"/>
      <w:lang w:val="el-GR"/>
    </w:rPr>
  </w:style>
  <w:style w:type="paragraph" w:styleId="Heading1">
    <w:name w:val="heading 1"/>
    <w:aliases w:val="CHAPTER"/>
    <w:basedOn w:val="Normal"/>
    <w:next w:val="Normal"/>
    <w:link w:val="Heading1Char"/>
    <w:uiPriority w:val="9"/>
    <w:qFormat/>
    <w:rsid w:val="00ED3174"/>
    <w:pPr>
      <w:keepNext/>
      <w:keepLines/>
      <w:spacing w:after="0" w:line="276" w:lineRule="auto"/>
      <w:ind w:left="720" w:hanging="720"/>
      <w:outlineLvl w:val="0"/>
    </w:pPr>
    <w:rPr>
      <w:rFonts w:eastAsiaTheme="majorEastAsia" w:cstheme="majorBidi"/>
      <w:b/>
      <w:color w:val="006838"/>
      <w:kern w:val="0"/>
      <w:sz w:val="40"/>
      <w:szCs w:val="40"/>
      <w14:ligatures w14:val="none"/>
    </w:rPr>
  </w:style>
  <w:style w:type="paragraph" w:styleId="Heading2">
    <w:name w:val="heading 2"/>
    <w:basedOn w:val="Normal"/>
    <w:next w:val="Normal"/>
    <w:link w:val="Heading2Char"/>
    <w:uiPriority w:val="9"/>
    <w:unhideWhenUsed/>
    <w:qFormat/>
    <w:rsid w:val="00372936"/>
    <w:pPr>
      <w:keepNext/>
      <w:keepLines/>
      <w:spacing w:before="120" w:after="0" w:line="276" w:lineRule="auto"/>
      <w:ind w:left="578" w:hanging="578"/>
      <w:outlineLvl w:val="1"/>
    </w:pPr>
    <w:rPr>
      <w:rFonts w:eastAsiaTheme="majorEastAsia" w:cstheme="majorBidi"/>
      <w:b/>
      <w:color w:val="006755"/>
      <w:kern w:val="0"/>
      <w:sz w:val="32"/>
      <w:szCs w:val="26"/>
      <w14:ligatures w14:val="none"/>
    </w:rPr>
  </w:style>
  <w:style w:type="paragraph" w:styleId="Heading3">
    <w:name w:val="heading 3"/>
    <w:basedOn w:val="Normal"/>
    <w:next w:val="Normal"/>
    <w:link w:val="Heading3Char"/>
    <w:uiPriority w:val="9"/>
    <w:semiHidden/>
    <w:unhideWhenUsed/>
    <w:qFormat/>
    <w:rsid w:val="00836B32"/>
    <w:pPr>
      <w:keepNext/>
      <w:keepLines/>
      <w:spacing w:before="160" w:after="80"/>
      <w:outlineLvl w:val="2"/>
    </w:pPr>
    <w:rPr>
      <w:rFonts w:asciiTheme="minorHAnsi" w:eastAsiaTheme="majorEastAsia" w:hAnsiTheme="minorHAnsi" w:cstheme="majorBidi"/>
      <w:color w:val="2A8737" w:themeColor="accent1" w:themeShade="BF"/>
      <w:sz w:val="28"/>
      <w:szCs w:val="28"/>
    </w:rPr>
  </w:style>
  <w:style w:type="paragraph" w:styleId="Heading4">
    <w:name w:val="heading 4"/>
    <w:basedOn w:val="Normal"/>
    <w:next w:val="Normal"/>
    <w:link w:val="Heading4Char"/>
    <w:uiPriority w:val="9"/>
    <w:semiHidden/>
    <w:unhideWhenUsed/>
    <w:qFormat/>
    <w:rsid w:val="00836B32"/>
    <w:pPr>
      <w:keepNext/>
      <w:keepLines/>
      <w:spacing w:before="80" w:after="40"/>
      <w:outlineLvl w:val="3"/>
    </w:pPr>
    <w:rPr>
      <w:rFonts w:asciiTheme="minorHAnsi" w:eastAsiaTheme="majorEastAsia" w:hAnsiTheme="minorHAnsi" w:cstheme="majorBidi"/>
      <w:i/>
      <w:iCs/>
      <w:color w:val="2A8737" w:themeColor="accent1" w:themeShade="BF"/>
    </w:rPr>
  </w:style>
  <w:style w:type="paragraph" w:styleId="Heading5">
    <w:name w:val="heading 5"/>
    <w:basedOn w:val="Normal"/>
    <w:next w:val="Normal"/>
    <w:link w:val="Heading5Char"/>
    <w:uiPriority w:val="9"/>
    <w:semiHidden/>
    <w:unhideWhenUsed/>
    <w:qFormat/>
    <w:rsid w:val="00836B32"/>
    <w:pPr>
      <w:keepNext/>
      <w:keepLines/>
      <w:spacing w:before="80" w:after="40"/>
      <w:outlineLvl w:val="4"/>
    </w:pPr>
    <w:rPr>
      <w:rFonts w:asciiTheme="minorHAnsi" w:eastAsiaTheme="majorEastAsia" w:hAnsiTheme="minorHAnsi" w:cstheme="majorBidi"/>
      <w:color w:val="2A8737" w:themeColor="accent1" w:themeShade="BF"/>
    </w:rPr>
  </w:style>
  <w:style w:type="paragraph" w:styleId="Heading6">
    <w:name w:val="heading 6"/>
    <w:basedOn w:val="Normal"/>
    <w:next w:val="Normal"/>
    <w:link w:val="Heading6Char"/>
    <w:uiPriority w:val="9"/>
    <w:semiHidden/>
    <w:unhideWhenUsed/>
    <w:qFormat/>
    <w:rsid w:val="00836B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6B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6B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6B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ED3174"/>
    <w:rPr>
      <w:rFonts w:ascii="Trebuchet MS" w:eastAsiaTheme="majorEastAsia" w:hAnsi="Trebuchet MS" w:cstheme="majorBidi"/>
      <w:b/>
      <w:color w:val="006838"/>
      <w:kern w:val="0"/>
      <w:sz w:val="40"/>
      <w:szCs w:val="40"/>
      <w:lang w:val="el-GR"/>
      <w14:ligatures w14:val="none"/>
    </w:rPr>
  </w:style>
  <w:style w:type="character" w:customStyle="1" w:styleId="Heading2Char">
    <w:name w:val="Heading 2 Char"/>
    <w:basedOn w:val="DefaultParagraphFont"/>
    <w:link w:val="Heading2"/>
    <w:uiPriority w:val="9"/>
    <w:rsid w:val="00372936"/>
    <w:rPr>
      <w:rFonts w:ascii="Trebuchet MS" w:eastAsiaTheme="majorEastAsia" w:hAnsi="Trebuchet MS" w:cstheme="majorBidi"/>
      <w:b/>
      <w:color w:val="006755"/>
      <w:kern w:val="0"/>
      <w:sz w:val="32"/>
      <w:szCs w:val="26"/>
      <w:lang w:val="el-GR"/>
      <w14:ligatures w14:val="none"/>
    </w:rPr>
  </w:style>
  <w:style w:type="character" w:customStyle="1" w:styleId="Heading3Char">
    <w:name w:val="Heading 3 Char"/>
    <w:basedOn w:val="DefaultParagraphFont"/>
    <w:link w:val="Heading3"/>
    <w:uiPriority w:val="9"/>
    <w:semiHidden/>
    <w:rsid w:val="00836B32"/>
    <w:rPr>
      <w:rFonts w:eastAsiaTheme="majorEastAsia" w:cstheme="majorBidi"/>
      <w:color w:val="2A8737" w:themeColor="accent1" w:themeShade="BF"/>
      <w:sz w:val="28"/>
      <w:szCs w:val="28"/>
    </w:rPr>
  </w:style>
  <w:style w:type="character" w:customStyle="1" w:styleId="Heading4Char">
    <w:name w:val="Heading 4 Char"/>
    <w:basedOn w:val="DefaultParagraphFont"/>
    <w:link w:val="Heading4"/>
    <w:uiPriority w:val="9"/>
    <w:semiHidden/>
    <w:rsid w:val="00836B32"/>
    <w:rPr>
      <w:rFonts w:eastAsiaTheme="majorEastAsia" w:cstheme="majorBidi"/>
      <w:i/>
      <w:iCs/>
      <w:color w:val="2A8737" w:themeColor="accent1" w:themeShade="BF"/>
      <w:sz w:val="22"/>
    </w:rPr>
  </w:style>
  <w:style w:type="character" w:customStyle="1" w:styleId="Heading5Char">
    <w:name w:val="Heading 5 Char"/>
    <w:basedOn w:val="DefaultParagraphFont"/>
    <w:link w:val="Heading5"/>
    <w:uiPriority w:val="9"/>
    <w:semiHidden/>
    <w:rsid w:val="00836B32"/>
    <w:rPr>
      <w:rFonts w:eastAsiaTheme="majorEastAsia" w:cstheme="majorBidi"/>
      <w:color w:val="2A8737" w:themeColor="accent1" w:themeShade="BF"/>
      <w:sz w:val="22"/>
    </w:rPr>
  </w:style>
  <w:style w:type="character" w:customStyle="1" w:styleId="Heading6Char">
    <w:name w:val="Heading 6 Char"/>
    <w:basedOn w:val="DefaultParagraphFont"/>
    <w:link w:val="Heading6"/>
    <w:uiPriority w:val="9"/>
    <w:semiHidden/>
    <w:rsid w:val="00836B32"/>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836B32"/>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836B32"/>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836B32"/>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836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B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B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B32"/>
    <w:rPr>
      <w:rFonts w:ascii="Trebuchet MS" w:hAnsi="Trebuchet MS"/>
      <w:i/>
      <w:iCs/>
      <w:color w:val="404040" w:themeColor="text1" w:themeTint="BF"/>
      <w:sz w:val="22"/>
    </w:rPr>
  </w:style>
  <w:style w:type="paragraph" w:styleId="ListParagraph">
    <w:name w:val="List Paragraph"/>
    <w:basedOn w:val="Normal"/>
    <w:uiPriority w:val="34"/>
    <w:qFormat/>
    <w:rsid w:val="00836B32"/>
    <w:pPr>
      <w:ind w:left="720"/>
      <w:contextualSpacing/>
    </w:pPr>
  </w:style>
  <w:style w:type="character" w:styleId="IntenseEmphasis">
    <w:name w:val="Intense Emphasis"/>
    <w:basedOn w:val="DefaultParagraphFont"/>
    <w:uiPriority w:val="21"/>
    <w:qFormat/>
    <w:rsid w:val="00836B32"/>
    <w:rPr>
      <w:i/>
      <w:iCs/>
      <w:color w:val="2A8737" w:themeColor="accent1" w:themeShade="BF"/>
    </w:rPr>
  </w:style>
  <w:style w:type="paragraph" w:styleId="IntenseQuote">
    <w:name w:val="Intense Quote"/>
    <w:basedOn w:val="Normal"/>
    <w:next w:val="Normal"/>
    <w:link w:val="IntenseQuoteChar"/>
    <w:uiPriority w:val="30"/>
    <w:qFormat/>
    <w:rsid w:val="00836B32"/>
    <w:pPr>
      <w:pBdr>
        <w:top w:val="single" w:sz="4" w:space="10" w:color="2A8737" w:themeColor="accent1" w:themeShade="BF"/>
        <w:bottom w:val="single" w:sz="4" w:space="10" w:color="2A8737" w:themeColor="accent1" w:themeShade="BF"/>
      </w:pBdr>
      <w:spacing w:before="360" w:after="360"/>
      <w:ind w:left="864" w:right="864"/>
      <w:jc w:val="center"/>
    </w:pPr>
    <w:rPr>
      <w:i/>
      <w:iCs/>
      <w:color w:val="2A8737" w:themeColor="accent1" w:themeShade="BF"/>
    </w:rPr>
  </w:style>
  <w:style w:type="character" w:customStyle="1" w:styleId="IntenseQuoteChar">
    <w:name w:val="Intense Quote Char"/>
    <w:basedOn w:val="DefaultParagraphFont"/>
    <w:link w:val="IntenseQuote"/>
    <w:uiPriority w:val="30"/>
    <w:rsid w:val="00836B32"/>
    <w:rPr>
      <w:rFonts w:ascii="Trebuchet MS" w:hAnsi="Trebuchet MS"/>
      <w:i/>
      <w:iCs/>
      <w:color w:val="2A8737" w:themeColor="accent1" w:themeShade="BF"/>
      <w:sz w:val="22"/>
    </w:rPr>
  </w:style>
  <w:style w:type="character" w:styleId="IntenseReference">
    <w:name w:val="Intense Reference"/>
    <w:basedOn w:val="DefaultParagraphFont"/>
    <w:uiPriority w:val="32"/>
    <w:qFormat/>
    <w:rsid w:val="00836B32"/>
    <w:rPr>
      <w:b/>
      <w:bCs/>
      <w:smallCaps/>
      <w:color w:val="2A8737" w:themeColor="accent1" w:themeShade="BF"/>
      <w:spacing w:val="5"/>
    </w:rPr>
  </w:style>
  <w:style w:type="paragraph" w:styleId="EndnoteText">
    <w:name w:val="endnote text"/>
    <w:basedOn w:val="Normal"/>
    <w:link w:val="EndnoteTextChar"/>
    <w:uiPriority w:val="99"/>
    <w:semiHidden/>
    <w:unhideWhenUsed/>
    <w:rsid w:val="00836B32"/>
    <w:pPr>
      <w:spacing w:line="240" w:lineRule="auto"/>
    </w:pPr>
    <w:rPr>
      <w:sz w:val="20"/>
      <w:szCs w:val="20"/>
    </w:rPr>
  </w:style>
  <w:style w:type="character" w:customStyle="1" w:styleId="EndnoteTextChar">
    <w:name w:val="Endnote Text Char"/>
    <w:basedOn w:val="DefaultParagraphFont"/>
    <w:link w:val="EndnoteText"/>
    <w:uiPriority w:val="99"/>
    <w:semiHidden/>
    <w:rsid w:val="00836B32"/>
    <w:rPr>
      <w:rFonts w:ascii="Trebuchet MS" w:hAnsi="Trebuchet MS"/>
      <w:sz w:val="20"/>
      <w:szCs w:val="20"/>
    </w:rPr>
  </w:style>
  <w:style w:type="character" w:styleId="EndnoteReference">
    <w:name w:val="endnote reference"/>
    <w:basedOn w:val="DefaultParagraphFont"/>
    <w:uiPriority w:val="99"/>
    <w:semiHidden/>
    <w:unhideWhenUsed/>
    <w:rsid w:val="00836B32"/>
    <w:rPr>
      <w:vertAlign w:val="superscript"/>
    </w:rPr>
  </w:style>
  <w:style w:type="character" w:styleId="CommentReference">
    <w:name w:val="annotation reference"/>
    <w:basedOn w:val="DefaultParagraphFont"/>
    <w:uiPriority w:val="99"/>
    <w:semiHidden/>
    <w:unhideWhenUsed/>
    <w:rsid w:val="00836B32"/>
    <w:rPr>
      <w:sz w:val="16"/>
      <w:szCs w:val="16"/>
    </w:rPr>
  </w:style>
  <w:style w:type="paragraph" w:styleId="CommentText">
    <w:name w:val="annotation text"/>
    <w:basedOn w:val="Normal"/>
    <w:link w:val="CommentTextChar"/>
    <w:uiPriority w:val="99"/>
    <w:unhideWhenUsed/>
    <w:rsid w:val="00836B32"/>
    <w:pPr>
      <w:spacing w:after="160"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836B32"/>
    <w:rPr>
      <w:sz w:val="20"/>
      <w:szCs w:val="20"/>
    </w:rPr>
  </w:style>
  <w:style w:type="paragraph" w:styleId="FootnoteText">
    <w:name w:val="footnote text"/>
    <w:basedOn w:val="Normal"/>
    <w:link w:val="FootnoteTextChar"/>
    <w:uiPriority w:val="99"/>
    <w:semiHidden/>
    <w:unhideWhenUsed/>
    <w:rsid w:val="00D60504"/>
    <w:pPr>
      <w:spacing w:line="240" w:lineRule="auto"/>
    </w:pPr>
    <w:rPr>
      <w:sz w:val="20"/>
      <w:szCs w:val="20"/>
    </w:rPr>
  </w:style>
  <w:style w:type="character" w:customStyle="1" w:styleId="FootnoteTextChar">
    <w:name w:val="Footnote Text Char"/>
    <w:basedOn w:val="DefaultParagraphFont"/>
    <w:link w:val="FootnoteText"/>
    <w:uiPriority w:val="99"/>
    <w:semiHidden/>
    <w:rsid w:val="00D60504"/>
    <w:rPr>
      <w:rFonts w:ascii="Trebuchet MS" w:hAnsi="Trebuchet MS"/>
      <w:sz w:val="20"/>
      <w:szCs w:val="20"/>
    </w:rPr>
  </w:style>
  <w:style w:type="character" w:styleId="FootnoteReference">
    <w:name w:val="footnote reference"/>
    <w:basedOn w:val="DefaultParagraphFont"/>
    <w:uiPriority w:val="99"/>
    <w:unhideWhenUsed/>
    <w:rsid w:val="00D60504"/>
    <w:rPr>
      <w:vertAlign w:val="superscript"/>
    </w:rPr>
  </w:style>
  <w:style w:type="character" w:styleId="Hyperlink">
    <w:name w:val="Hyperlink"/>
    <w:basedOn w:val="DefaultParagraphFont"/>
    <w:uiPriority w:val="99"/>
    <w:unhideWhenUsed/>
    <w:rsid w:val="00601CFC"/>
    <w:rPr>
      <w:color w:val="31859B" w:themeColor="hyperlink"/>
      <w:u w:val="single"/>
    </w:rPr>
  </w:style>
  <w:style w:type="character" w:styleId="FollowedHyperlink">
    <w:name w:val="FollowedHyperlink"/>
    <w:basedOn w:val="DefaultParagraphFont"/>
    <w:uiPriority w:val="99"/>
    <w:semiHidden/>
    <w:unhideWhenUsed/>
    <w:rsid w:val="00B25705"/>
    <w:rPr>
      <w:color w:val="006838" w:themeColor="followedHyperlink"/>
      <w:u w:val="single"/>
    </w:rPr>
  </w:style>
  <w:style w:type="paragraph" w:styleId="CommentSubject">
    <w:name w:val="annotation subject"/>
    <w:basedOn w:val="CommentText"/>
    <w:next w:val="CommentText"/>
    <w:link w:val="CommentSubjectChar"/>
    <w:uiPriority w:val="99"/>
    <w:semiHidden/>
    <w:unhideWhenUsed/>
    <w:rsid w:val="006F6228"/>
    <w:pPr>
      <w:spacing w:after="0"/>
      <w:jc w:val="both"/>
    </w:pPr>
    <w:rPr>
      <w:rFonts w:ascii="Trebuchet MS" w:hAnsi="Trebuchet MS"/>
      <w:b/>
      <w:bCs/>
    </w:rPr>
  </w:style>
  <w:style w:type="character" w:customStyle="1" w:styleId="CommentSubjectChar">
    <w:name w:val="Comment Subject Char"/>
    <w:basedOn w:val="CommentTextChar"/>
    <w:link w:val="CommentSubject"/>
    <w:uiPriority w:val="99"/>
    <w:semiHidden/>
    <w:rsid w:val="006F6228"/>
    <w:rPr>
      <w:rFonts w:ascii="Trebuchet MS" w:hAnsi="Trebuchet MS"/>
      <w:b/>
      <w:bCs/>
      <w:sz w:val="20"/>
      <w:szCs w:val="20"/>
    </w:rPr>
  </w:style>
  <w:style w:type="paragraph" w:styleId="Header">
    <w:name w:val="header"/>
    <w:basedOn w:val="Normal"/>
    <w:link w:val="HeaderChar"/>
    <w:uiPriority w:val="99"/>
    <w:unhideWhenUsed/>
    <w:rsid w:val="001921AE"/>
    <w:pPr>
      <w:tabs>
        <w:tab w:val="center" w:pos="4680"/>
        <w:tab w:val="right" w:pos="9360"/>
      </w:tabs>
      <w:spacing w:line="240" w:lineRule="auto"/>
    </w:pPr>
  </w:style>
  <w:style w:type="character" w:customStyle="1" w:styleId="HeaderChar">
    <w:name w:val="Header Char"/>
    <w:basedOn w:val="DefaultParagraphFont"/>
    <w:link w:val="Header"/>
    <w:uiPriority w:val="99"/>
    <w:rsid w:val="001921AE"/>
    <w:rPr>
      <w:rFonts w:ascii="Trebuchet MS" w:hAnsi="Trebuchet MS"/>
      <w:sz w:val="22"/>
    </w:rPr>
  </w:style>
  <w:style w:type="paragraph" w:styleId="Footer">
    <w:name w:val="footer"/>
    <w:basedOn w:val="Normal"/>
    <w:link w:val="FooterChar"/>
    <w:uiPriority w:val="99"/>
    <w:unhideWhenUsed/>
    <w:rsid w:val="001921AE"/>
    <w:pPr>
      <w:tabs>
        <w:tab w:val="center" w:pos="4680"/>
        <w:tab w:val="right" w:pos="9360"/>
      </w:tabs>
      <w:spacing w:line="240" w:lineRule="auto"/>
    </w:pPr>
  </w:style>
  <w:style w:type="character" w:customStyle="1" w:styleId="FooterChar">
    <w:name w:val="Footer Char"/>
    <w:basedOn w:val="DefaultParagraphFont"/>
    <w:link w:val="Footer"/>
    <w:uiPriority w:val="99"/>
    <w:rsid w:val="001921AE"/>
    <w:rPr>
      <w:rFonts w:ascii="Trebuchet MS" w:hAnsi="Trebuchet MS"/>
      <w:sz w:val="22"/>
    </w:rPr>
  </w:style>
  <w:style w:type="table" w:styleId="TableGrid">
    <w:name w:val="Table Grid"/>
    <w:basedOn w:val="TableNormal"/>
    <w:uiPriority w:val="39"/>
    <w:rsid w:val="00655A2F"/>
    <w:pPr>
      <w:spacing w:after="0" w:line="240" w:lineRule="auto"/>
    </w:pPr>
    <w:tblPr/>
  </w:style>
  <w:style w:type="character" w:styleId="UnresolvedMention">
    <w:name w:val="Unresolved Mention"/>
    <w:basedOn w:val="DefaultParagraphFont"/>
    <w:uiPriority w:val="99"/>
    <w:semiHidden/>
    <w:unhideWhenUsed/>
    <w:rsid w:val="00CB064D"/>
    <w:rPr>
      <w:color w:val="605E5C"/>
      <w:shd w:val="clear" w:color="auto" w:fill="E1DFDD"/>
    </w:rPr>
  </w:style>
  <w:style w:type="paragraph" w:styleId="Caption">
    <w:name w:val="caption"/>
    <w:basedOn w:val="Normal"/>
    <w:next w:val="Normal"/>
    <w:uiPriority w:val="35"/>
    <w:unhideWhenUsed/>
    <w:qFormat/>
    <w:rsid w:val="007D3D8B"/>
    <w:pPr>
      <w:spacing w:after="200" w:line="240" w:lineRule="auto"/>
    </w:pPr>
    <w:rPr>
      <w:i/>
      <w:iCs/>
      <w:color w:val="000000" w:themeColor="text1"/>
      <w:sz w:val="18"/>
      <w:szCs w:val="18"/>
    </w:rPr>
  </w:style>
  <w:style w:type="table" w:styleId="TableGridLight">
    <w:name w:val="Grid Table Light"/>
    <w:basedOn w:val="TableNormal"/>
    <w:uiPriority w:val="40"/>
    <w:rsid w:val="00DD0F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E087F"/>
    <w:rPr>
      <w:color w:val="666666"/>
    </w:rPr>
  </w:style>
  <w:style w:type="paragraph" w:styleId="TOCHeading">
    <w:name w:val="TOC Heading"/>
    <w:aliases w:val="Chapter"/>
    <w:basedOn w:val="Heading1"/>
    <w:next w:val="Normal"/>
    <w:link w:val="TOCHeadingChar"/>
    <w:uiPriority w:val="39"/>
    <w:unhideWhenUsed/>
    <w:qFormat/>
    <w:rsid w:val="00793E4B"/>
    <w:pPr>
      <w:spacing w:line="259" w:lineRule="auto"/>
      <w:outlineLvl w:val="9"/>
    </w:pPr>
    <w:rPr>
      <w:b w:val="0"/>
      <w:sz w:val="52"/>
      <w:szCs w:val="52"/>
      <w:lang w:eastAsia="el-GR"/>
    </w:rPr>
  </w:style>
  <w:style w:type="character" w:customStyle="1" w:styleId="TOCHeadingChar">
    <w:name w:val="TOC Heading Char"/>
    <w:aliases w:val="Chapter Char"/>
    <w:basedOn w:val="DefaultParagraphFont"/>
    <w:link w:val="TOCHeading"/>
    <w:uiPriority w:val="39"/>
    <w:rsid w:val="00793E4B"/>
    <w:rPr>
      <w:rFonts w:ascii="Trebuchet MS" w:eastAsiaTheme="majorEastAsia" w:hAnsi="Trebuchet MS" w:cstheme="majorBidi"/>
      <w:b/>
      <w:color w:val="006838"/>
      <w:kern w:val="0"/>
      <w:sz w:val="52"/>
      <w:szCs w:val="52"/>
      <w:lang w:eastAsia="el-GR"/>
      <w14:ligatures w14:val="none"/>
    </w:rPr>
  </w:style>
  <w:style w:type="paragraph" w:customStyle="1" w:styleId="Style1">
    <w:name w:val="Style1"/>
    <w:basedOn w:val="FootnoteText"/>
    <w:link w:val="Style1Char"/>
    <w:qFormat/>
    <w:rsid w:val="00793E4B"/>
    <w:pPr>
      <w:spacing w:after="0"/>
    </w:pPr>
    <w:rPr>
      <w:iCs/>
      <w:color w:val="595959" w:themeColor="text1" w:themeTint="A6"/>
      <w:kern w:val="0"/>
      <w:sz w:val="18"/>
      <w:szCs w:val="18"/>
      <w14:ligatures w14:val="none"/>
    </w:rPr>
  </w:style>
  <w:style w:type="character" w:customStyle="1" w:styleId="Style1Char">
    <w:name w:val="Style1 Char"/>
    <w:basedOn w:val="FootnoteTextChar"/>
    <w:link w:val="Style1"/>
    <w:rsid w:val="00793E4B"/>
    <w:rPr>
      <w:rFonts w:ascii="Trebuchet MS" w:hAnsi="Trebuchet MS"/>
      <w:iCs/>
      <w:color w:val="595959" w:themeColor="text1" w:themeTint="A6"/>
      <w:kern w:val="0"/>
      <w:sz w:val="18"/>
      <w:szCs w:val="18"/>
      <w14:ligatures w14:val="none"/>
    </w:rPr>
  </w:style>
  <w:style w:type="paragraph" w:customStyle="1" w:styleId="Paragraph">
    <w:name w:val="Paragraph"/>
    <w:basedOn w:val="Normal"/>
    <w:link w:val="ParagraphChar"/>
    <w:qFormat/>
    <w:rsid w:val="00793E4B"/>
    <w:pPr>
      <w:spacing w:after="0" w:line="276" w:lineRule="auto"/>
    </w:pPr>
    <w:rPr>
      <w:rFonts w:eastAsia="Calibri" w:cs="Calibri"/>
      <w:color w:val="000000"/>
      <w:kern w:val="0"/>
      <w:szCs w:val="22"/>
      <w14:ligatures w14:val="none"/>
    </w:rPr>
  </w:style>
  <w:style w:type="character" w:customStyle="1" w:styleId="ParagraphChar">
    <w:name w:val="Paragraph Char"/>
    <w:basedOn w:val="DefaultParagraphFont"/>
    <w:link w:val="Paragraph"/>
    <w:rsid w:val="00793E4B"/>
    <w:rPr>
      <w:rFonts w:ascii="Trebuchet MS" w:eastAsia="Calibri" w:hAnsi="Trebuchet MS" w:cs="Calibri"/>
      <w:color w:val="000000"/>
      <w:kern w:val="0"/>
      <w:sz w:val="22"/>
      <w:szCs w:val="22"/>
      <w:lang w:val="el-GR"/>
      <w14:ligatures w14:val="none"/>
    </w:rPr>
  </w:style>
  <w:style w:type="paragraph" w:customStyle="1" w:styleId="Del-plaintext">
    <w:name w:val="Del - plain text"/>
    <w:basedOn w:val="Normal"/>
    <w:link w:val="Del-plaintextChar"/>
    <w:rsid w:val="005A2889"/>
    <w:pPr>
      <w:spacing w:after="0" w:line="360" w:lineRule="auto"/>
    </w:pPr>
    <w:rPr>
      <w:rFonts w:ascii="Calibri" w:eastAsia="Calibri" w:hAnsi="Calibri" w:cs="Calibri"/>
      <w:kern w:val="0"/>
      <w:szCs w:val="22"/>
      <w14:ligatures w14:val="none"/>
    </w:rPr>
  </w:style>
  <w:style w:type="character" w:customStyle="1" w:styleId="Del-plaintextChar">
    <w:name w:val="Del - plain text Char"/>
    <w:basedOn w:val="DefaultParagraphFont"/>
    <w:link w:val="Del-plaintext"/>
    <w:rsid w:val="005A2889"/>
    <w:rPr>
      <w:rFonts w:ascii="Calibri" w:eastAsia="Calibri" w:hAnsi="Calibri" w:cs="Calibri"/>
      <w:kern w:val="0"/>
      <w:sz w:val="22"/>
      <w:szCs w:val="22"/>
      <w14:ligatures w14:val="none"/>
    </w:rPr>
  </w:style>
  <w:style w:type="character" w:styleId="SubtleEmphasis">
    <w:name w:val="Subtle Emphasis"/>
    <w:aliases w:val="Emphasis Title"/>
    <w:uiPriority w:val="19"/>
    <w:qFormat/>
    <w:rsid w:val="008324E6"/>
    <w:rPr>
      <w:rFonts w:ascii="Trebuchet MS" w:hAnsi="Trebuchet MS"/>
      <w:b/>
      <w:color w:val="8DC63F"/>
      <w:sz w:val="40"/>
      <w:szCs w:val="40"/>
      <w:lang w:val="el-GR"/>
    </w:rPr>
  </w:style>
  <w:style w:type="paragraph" w:styleId="Revision">
    <w:name w:val="Revision"/>
    <w:hidden/>
    <w:uiPriority w:val="99"/>
    <w:semiHidden/>
    <w:rsid w:val="00F8223E"/>
    <w:pPr>
      <w:spacing w:after="0" w:line="240" w:lineRule="auto"/>
    </w:pPr>
    <w:rPr>
      <w:rFonts w:ascii="Trebuchet MS" w:hAnsi="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svg"/><Relationship Id="rId1" Type="http://schemas.openxmlformats.org/officeDocument/2006/relationships/image" Target="media/image8.png"/><Relationship Id="rId4" Type="http://schemas.openxmlformats.org/officeDocument/2006/relationships/image" Target="media/image11.svg"/></Relationships>
</file>

<file path=word/_rels/footnotes.xml.rels><?xml version="1.0" encoding="UTF-8" standalone="yes"?>
<Relationships xmlns="http://schemas.openxmlformats.org/package/2006/relationships"><Relationship Id="rId3" Type="http://schemas.openxmlformats.org/officeDocument/2006/relationships/hyperlink" Target="https://www.raaey.gr/energeia/wp-content/uploads/2025/11/AUGUST-25-ELECTRICITY-MARKET-RETAIL-REPORT.pdf" TargetMode="External"/><Relationship Id="rId2" Type="http://schemas.openxmlformats.org/officeDocument/2006/relationships/hyperlink" Target="https://energycost.gr/" TargetMode="External"/><Relationship Id="rId1" Type="http://schemas.openxmlformats.org/officeDocument/2006/relationships/hyperlink" Target="https://bit.ly/4i4iT1v" TargetMode="External"/><Relationship Id="rId6" Type="http://schemas.openxmlformats.org/officeDocument/2006/relationships/hyperlink" Target="https://www.sciencedirect.com/science/article/pii/S2352484723013057" TargetMode="External"/><Relationship Id="rId5" Type="http://schemas.openxmlformats.org/officeDocument/2006/relationships/hyperlink" Target="https://thegreentank.gr/2025/12/03/admie-oct25-el/" TargetMode="External"/><Relationship Id="rId4" Type="http://schemas.openxmlformats.org/officeDocument/2006/relationships/hyperlink" Target="https://transparency.entso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1.svg"/><Relationship Id="rId1" Type="http://schemas.openxmlformats.org/officeDocument/2006/relationships/image" Target="media/image10.png"/><Relationship Id="rId4" Type="http://schemas.openxmlformats.org/officeDocument/2006/relationships/image" Target="media/image9.svg"/></Relationships>
</file>

<file path=word/theme/theme1.xml><?xml version="1.0" encoding="utf-8"?>
<a:theme xmlns:a="http://schemas.openxmlformats.org/drawingml/2006/main" name="Theme_GT">
  <a:themeElements>
    <a:clrScheme name="Custom 7">
      <a:dk1>
        <a:sysClr val="windowText" lastClr="000000"/>
      </a:dk1>
      <a:lt1>
        <a:sysClr val="window" lastClr="FFFFFF"/>
      </a:lt1>
      <a:dk2>
        <a:srgbClr val="006838"/>
      </a:dk2>
      <a:lt2>
        <a:srgbClr val="EEECE1"/>
      </a:lt2>
      <a:accent1>
        <a:srgbClr val="39B54A"/>
      </a:accent1>
      <a:accent2>
        <a:srgbClr val="8DC63F"/>
      </a:accent2>
      <a:accent3>
        <a:srgbClr val="C3D69B"/>
      </a:accent3>
      <a:accent4>
        <a:srgbClr val="A5A5A5"/>
      </a:accent4>
      <a:accent5>
        <a:srgbClr val="D8D8D8"/>
      </a:accent5>
      <a:accent6>
        <a:srgbClr val="4F6128"/>
      </a:accent6>
      <a:hlink>
        <a:srgbClr val="31859B"/>
      </a:hlink>
      <a:folHlink>
        <a:srgbClr val="006838"/>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B1AF-24BB-4204-BBAD-DEE1896BE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2958</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Που οφείλονται οι υψηλές τιμές ηλεκτρικής ενέργειας ;</vt:lpstr>
    </vt:vector>
  </TitlesOfParts>
  <Company>The Green Tank</Company>
  <LinksUpToDate>false</LinksUpToDate>
  <CharactersWithSpaces>18897</CharactersWithSpaces>
  <SharedDoc>false</SharedDoc>
  <HLinks>
    <vt:vector size="36" baseType="variant">
      <vt:variant>
        <vt:i4>6291508</vt:i4>
      </vt:variant>
      <vt:variant>
        <vt:i4>12</vt:i4>
      </vt:variant>
      <vt:variant>
        <vt:i4>0</vt:i4>
      </vt:variant>
      <vt:variant>
        <vt:i4>5</vt:i4>
      </vt:variant>
      <vt:variant>
        <vt:lpwstr>https://thegreentank.gr/2025/10/29/admie-sep25-el/</vt:lpwstr>
      </vt:variant>
      <vt:variant>
        <vt:lpwstr/>
      </vt:variant>
      <vt:variant>
        <vt:i4>3997810</vt:i4>
      </vt:variant>
      <vt:variant>
        <vt:i4>9</vt:i4>
      </vt:variant>
      <vt:variant>
        <vt:i4>0</vt:i4>
      </vt:variant>
      <vt:variant>
        <vt:i4>5</vt:i4>
      </vt:variant>
      <vt:variant>
        <vt:lpwstr>https://transparency.entsoe.eu/</vt:lpwstr>
      </vt:variant>
      <vt:variant>
        <vt:lpwstr/>
      </vt:variant>
      <vt:variant>
        <vt:i4>2949163</vt:i4>
      </vt:variant>
      <vt:variant>
        <vt:i4>6</vt:i4>
      </vt:variant>
      <vt:variant>
        <vt:i4>0</vt:i4>
      </vt:variant>
      <vt:variant>
        <vt:i4>5</vt:i4>
      </vt:variant>
      <vt:variant>
        <vt:lpwstr>https://www.raaey.gr/energeia/wp-content/uploads/2025/11/AUGUST-25-ELECTRICITY-MARKET-RETAIL-REPORT.pdf</vt:lpwstr>
      </vt:variant>
      <vt:variant>
        <vt:lpwstr/>
      </vt:variant>
      <vt:variant>
        <vt:i4>2556011</vt:i4>
      </vt:variant>
      <vt:variant>
        <vt:i4>3</vt:i4>
      </vt:variant>
      <vt:variant>
        <vt:i4>0</vt:i4>
      </vt:variant>
      <vt:variant>
        <vt:i4>5</vt:i4>
      </vt:variant>
      <vt:variant>
        <vt:lpwstr>https://energycost.gr/</vt:lpwstr>
      </vt:variant>
      <vt:variant>
        <vt:lpwstr/>
      </vt:variant>
      <vt:variant>
        <vt:i4>2949156</vt:i4>
      </vt:variant>
      <vt:variant>
        <vt:i4>0</vt:i4>
      </vt:variant>
      <vt:variant>
        <vt:i4>0</vt:i4>
      </vt:variant>
      <vt:variant>
        <vt:i4>5</vt:i4>
      </vt:variant>
      <vt:variant>
        <vt:lpwstr>https://bit.ly/4i4iT1v</vt:lpwstr>
      </vt:variant>
      <vt:variant>
        <vt:lpwstr/>
      </vt:variant>
      <vt:variant>
        <vt:i4>6553723</vt:i4>
      </vt:variant>
      <vt:variant>
        <vt:i4>0</vt:i4>
      </vt:variant>
      <vt:variant>
        <vt:i4>0</vt:i4>
      </vt:variant>
      <vt:variant>
        <vt:i4>5</vt:i4>
      </vt:variant>
      <vt:variant>
        <vt:lpwstr>https://energypress.gr/news/eftasan-kai-stin-tsepi-ton-paragogon-ape-oi-arnitikes-times-gia-proti-fora-stin-ekkatharisi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Πού οφείλονται οι υψηλές τιμές ηλεκτρικής ενέργειας;</dc:title>
  <dc:subject/>
  <dc:creator>Nikos Mantzaris;kourtza.evita@thegreentank.gr</dc:creator>
  <cp:keywords>renewables; RES; electricity; price; DAM;</cp:keywords>
  <dc:description/>
  <cp:lastModifiedBy>Maria-Christina Doulami</cp:lastModifiedBy>
  <cp:revision>69</cp:revision>
  <cp:lastPrinted>2025-12-11T09:07:00Z</cp:lastPrinted>
  <dcterms:created xsi:type="dcterms:W3CDTF">2025-12-04T14:14:00Z</dcterms:created>
  <dcterms:modified xsi:type="dcterms:W3CDTF">2025-12-11T09:07:00Z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68eb7f93-5cd5-4476-9a60-77a40e3c22d3</vt:lpwstr>
  </property>
</Properties>
</file>